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dabas resursu nodokļa noteikšanu neapstrādātai koksnei, kas var būt dažāda veida sortimenti, piemēram gulšņi vai malka. Pēdējos gados ir bijusi vērojams ievērojams egļu astoņzobu mizgraužu populācijas pieaugums, kas ieraisījis masveida egļu kalsšanu vairāku miljonu kubikmetru apmērā. Kā pierāda pašreizējā situācija, šāda apjoma bojātas koksnes realizācija var notikt pateicoties  mazvērtīgās koksnes eksportam ārpus ES. Pastiprinoties klimata ekstrēmiem, šādas situācijas var atkārtoties samērā bieži. Esot sašurinātām iespējām realizēt bojāto koksni, meža īpāsnieki cietīs vēl lielākus zaudējumus, savukārt valsts budžetā samazināsies nodokļu 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27.11.2025. 09.15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27.11.2025. 09.15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