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5. jūlija noteikumos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punktiem, kuri paredz svītrot uzraudzības rādītājus, pamatojoties uz Finanšu ministrijas 2025. gada 23. maija vēstuli Nr.5.1-27/21/1573 "Par Atveseļošanas fonda uzraudzības rādītājiem" - nav pamats turpināt uzraudzības rādītāju datu uzkrāšanu un uzraudzīšanu. Vēršam uzmanību, ka attiecīgi jāpapildina anotācija, paredzot arī iespējami drīz informēt finansējuma saņēmējus, ka uzraudzības datu uzkrāšana un uzraudzīšana nav turpināma administratīvā sloga mazināšanas nolūkos.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anotācijā norādīto informāciju par pārdalāmo finansējumu, papildinot, vai tas ir brīvs, t.i. nav piesaistīts kādiem līgumiem, kā veidojies atlikums.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apliecinājumu/skaidrojumu, ka finansējuma samazinājums neietekmē investīcijas ietvaros jau sasniegto CID rādītāju Nr.158 "Finansējuma piešķiršana" un cover note saskaņošanu ar Eiropas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vai, ņemot vērā noteikumu projektā plānotos grozījumus, tiks veikti grozījumi arī līgumos par investīciju projektu īstenošanu. Gadījumā, ja grozījumi līgumos tiks veikti, lūdzam arī atbilstoši aizpildīt anotācijas 2.1. sadaļas apakšsadaļu "Juridiskās personas" un atbilstošo apakšsadaļu "Ietekmes apraksts", kā arī anotācijas 7.1.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informāciju par Eiropas Savienības fondu tematiskās komitejas lēmumu, jo tas paredz atļaut ministrijām identificētos atlikumus izmantot savas nozares Atveseļošanas un noturības mehānisma (turpmāk – Atveseļošanas fonds) projektu īstenošanai, ja atlikumi nepārsniedz 1 milj. euro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sniegto informāciju par projekta ietekmi uz valsts budžetu, sadaļas tabulā atspoguļojot 5.1.1.2.i. investīcijas "Atbalsta instruments pētniecībai un internacionalizācijai"  finansējuma samazinājumu 473 223 euro apmērā. Ievērojot, ka investīcijas īstenošanai ir paredzēts tikai Atveseļošanas fonda finansējums, attiecīgi jāaizpilda 1., 1.1., 2. un 2.1.punkts, svītrojot šobrīd 3., 3.1.punktā norādīto finansiālo ietekmi. Turklāt 6.punktā lūdzam iekļaut tikai tādu informāciju, kas pamato finansējuma samazinājumu, svītrojot rindkopu par provizorisko finansējuma izlietojumu iepriekšējos gados. Vienlaikus, lūdzam sadaļā kā n gadu norādīt 2026.gadu, attiecīgi precizējot sadaļas tabulu, kā arī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piedalīties un nodrošināt, ka pētniecības projektu atlases padomes sēdēs un pētniecības projektu vērtēšanā tiek ievērots interešu konflikta novēršanas princips saskaņā ar Komisijas 2018. gada 18. jūlija Regulas (ES)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 (turpmāk – Komisijas regula Nr. 2018/1046), 61. pantu, kā arī caurskatāmības un vienlīdzības principu, vienlaikus novēršot korupcijas, krāpšanas un dubultā finansējuma risku, ja nepieciešams, veicot atbilstošus korekcijas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jaunā “Finanšu regula” – Eiropas Parlamenta un Padomes 2024. gada 23. septembra Regula (ES, Euratom) 2024/2509 par finanšu noteikumiem, ko piemēro Savienības vispārējam budžetam (pārstrādāta redakcija) (turpmāk - Regula 2024/2509), un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vai būtu veicami grozījumi Ministru kabineta 2022. gada 5. jūlija noteikumu Nr. 418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pirmās kārtas īstenošanas noteikumi" (turpmāk – noteikumi Nr. 418) 13.1., 18.3., 72.4. apakšpunktā, 69., 75., 79. punktā un 3. pielikumā, precizējot regulas atsauci uz Regulu 2024/2509. Saskaņā ar Regulas 2024/2509 279. pantu atsauces uz atcelto Regulu 2018/1046 uzskata par atsaucēm uz Regulu 2024/2509, un tās lasa saskaņā ar atbilstības tabulu Regulas 2024/2509 II pielikumā. Vienlaikus nepieciešamības gadījumā aicinām atbilstoši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Atveseļošanas fonda finansējums tiek piešķirts tikai gadījumā, ja kompetences centrs kā finansējuma saņēmējs atbilst Komisijas regulas Nr. </w:t>
            </w:r>
            <w:r w:rsidR="00000000" w:rsidRPr="00000000" w:rsidDel="00000000">
              <w:rPr>
                <w:rtl w:val="0"/>
              </w:rPr>
              <w:t xml:space="preserve">2023/2831</w:t>
            </w:r>
            <w:r w:rsidR="00000000" w:rsidRPr="00000000" w:rsidDel="00000000">
              <w:rPr>
                <w:rtl w:val="0"/>
              </w:rPr>
              <w:t xml:space="preserve"> prasībām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2024. gada 1. jūlijā stājušies spēkā grozījumi Ministru kabineta 2018. gada 21. novembra noteikumos Nr. 715 "De minimis atbalsta uzskaites un piešķiršanas kārtība", lūdzam precizēt noteikumu Nr. 418 98. punktu, svītrojot vārdus "un de minimis atbalsta uzskaites veidlapu paraugiem".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Mūrniece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Atbalstu nepiešķir, ja sadarbības partneri  atbilst grūtībās nonākuša komersanta statusam saskaņā ar Komisijas regulas Nr. </w:t>
            </w:r>
            <w:r w:rsidR="00000000" w:rsidRPr="00000000" w:rsidDel="00000000">
              <w:rPr>
                <w:rtl w:val="0"/>
              </w:rPr>
              <w:t xml:space="preserve">651/2014</w:t>
            </w:r>
            <w:r w:rsidR="00000000" w:rsidRPr="00000000" w:rsidDel="00000000">
              <w:rPr>
                <w:rtl w:val="0"/>
              </w:rPr>
              <w:t xml:space="preserve"> 2. panta 18. punkta definīciju. Sadarbības partneriem, iesniedzot pētniecības projekta iesniegumu, ir jāiesniedz apliecinājums par Komisijas regulas Nr. </w:t>
            </w:r>
            <w:r w:rsidR="00000000" w:rsidRPr="00000000" w:rsidDel="00000000">
              <w:rPr>
                <w:rtl w:val="0"/>
              </w:rPr>
              <w:t xml:space="preserve">651/2014</w:t>
            </w:r>
            <w:r w:rsidR="00000000" w:rsidRPr="00000000" w:rsidDel="00000000">
              <w:rPr>
                <w:rtl w:val="0"/>
              </w:rPr>
              <w:t xml:space="preserve"> 2. panta 18. punkta "c" apakšpunktā ietvertā nosacījuma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atbilstība grūtībās nonākuša komersanta statusam jāvērtē uzņēmuma grupas līmenī, normas skaidrībai lūdzam  precizēt noteikumu Nr. 418 121.punktu aiz vārda "komersanta" iekļaujot iekavas "(vērtējot grupas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25-TA-2401</w:t>
    </w:r>
    <w:r>
      <w:br/>
    </w:r>
    <w:r w:rsidR="00000000" w:rsidRPr="00000000" w:rsidDel="00000000">
      <w:rPr>
        <w:rtl w:val="0"/>
      </w:rPr>
      <w:t xml:space="preserve">Izdrukāts 13.01.2026.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25-TA-2401</w:t>
    </w:r>
    <w:r>
      <w:br/>
    </w:r>
    <w:r w:rsidR="00000000" w:rsidRPr="00000000" w:rsidDel="00000000">
      <w:rPr>
        <w:rtl w:val="0"/>
      </w:rPr>
      <w:t xml:space="preserve">Izdrukāts 13.01.2026.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Atzinumi_25-TA-2401.docx</dc:title>
</cp:coreProperties>
</file>

<file path=docProps/custom.xml><?xml version="1.0" encoding="utf-8"?>
<Properties xmlns="http://schemas.openxmlformats.org/officeDocument/2006/custom-properties" xmlns:vt="http://schemas.openxmlformats.org/officeDocument/2006/docPropsVTypes"/>
</file>