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w:t>
            </w:r>
            <w:r w:rsidR="00000000" w:rsidRPr="00000000" w:rsidDel="00000000">
              <w:rPr>
                <w:u w:val="single"/>
                <w:rtl w:val="0"/>
              </w:rPr>
              <w:t xml:space="preserve">jāpamato pēc būtības, norādot konkrētās nelabvēlīgās sekas</w:t>
            </w:r>
            <w:r w:rsidR="00000000" w:rsidRPr="00000000" w:rsidDel="00000000">
              <w:rPr>
                <w:rtl w:val="0"/>
              </w:rPr>
              <w:t xml:space="preserve">.</w:t>
            </w:r>
            <w:r w:rsidR="00000000" w:rsidRPr="00000000" w:rsidDel="00000000">
              <w:rPr>
                <w:u w:val="single"/>
                <w:rtl w:val="0"/>
              </w:rPr>
              <w:t xml:space="preserve">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noteikumu projektam trūkst steidzamības pamatojuma pēc būtības. Citastarp vēršam uzmanību, ka likums "Par valsts budžetu 2025. gadam un budžeta ietvaru 2025., 2026. un 2027. gadam" ir pieņemts 2024. gada 6. decembrī, savukārt Inovatīvas uzņēmējdarbības un prioritāro projektu atbalsta likums ir pieņemts 2024. gada 14. martā. Lūdzam turpmāk tiesību aktu projektus virzīt saskaņošanai vispārējā kārtībā atbilstoši Ministru kabineta 2021. gada 7. septembra noteikumu Nr. 606 "Ministru kabineta kārtības rullis" 55.1. apakšpunktam, vai arī pamatot steidzamību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Filmu likuma</w:t>
            </w:r>
            <w:r w:rsidR="00000000" w:rsidRPr="00000000" w:rsidDel="00000000">
              <w:rPr>
                <w:rtl w:val="0"/>
              </w:rPr>
              <w:t xml:space="preserve"> 11. panta trešo daļu un Inovatīvas uzņēmējdarbības un prioritāro projektu atbalsta likuma 4.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paredzēts izdot citastarp uz Inovatīvas uzņēmējdarbības un prioritāro projektu atbalsta likuma 4. panta otrās daļas pamata. Lūdzam izvērtēt un sniegt skaidrojumu par noteikumu projekta atbilstību likumam, tostarp tā 4. panta pirmajai daļai. Minētā likuma 4. panta pirmā daļa noteic, ka komercdarbības atbalsts Komercdarbības atbalsta kontroles likuma izpratnē tiek sniegts: 1) prioritārajiem projektiem, kas tiek īstenoti kādā no šā likuma 3. panta pirmajā daļā minētajām jomām; 2) uzņēmējdarbības veicināšanas prioritāro projektu piesaistei nepieciešamās atbalsta programmas vai </w:t>
            </w:r>
            <w:r w:rsidR="00000000" w:rsidRPr="00000000" w:rsidDel="00000000">
              <w:rPr>
                <w:i w:val="1"/>
                <w:rtl w:val="0"/>
              </w:rPr>
              <w:t xml:space="preserve">ad-hoc</w:t>
            </w:r>
            <w:r w:rsidR="00000000" w:rsidRPr="00000000" w:rsidDel="00000000">
              <w:rPr>
                <w:rtl w:val="0"/>
              </w:rPr>
              <w:t xml:space="preserve"> atbalsta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likums citastarp arī definē, kas ir prioritārs projekts (likuma 1. panta 1. punkts), kā arī 3. panta ceturtajā daļā ir ietverts pilnvarojums Ministru kabinetam noteikt citastarp prioritāro projektu kvalifikācijas kritērijus un prioritāro projektu statusa piešķiršanas un zaudēšanas nosacījumus un kārtību, kā arī prioritāro projektu iesniegšanas, izvērtēšanas, īstenošanas un uzraudzības kārtību (3. panta ceturtās daļas 1. un 2. punkts). Saskaņā ar Inovatīvas uzņēmējdarbības un prioritāro projektu atbalsta pārejas noteikumu 1. punkta pirmo teikumu Ministru kabinetam likuma 3. panta ceturtajā daļā minētie noteikumi bija jāizdod līdz 2024. gada 30. novembrim, tomēr noteikumi vēl nav izdoti. Attiecīgi lūdzam izvērtēt un sniegt skaidrojumu, vai ir pieļaujama Ministru kabineta noteikumu izdošana, pamatojoties uz Inovatīvas uzņēmējdarbības un prioritāro projektu atbalsta 4. panta otro daļu, kamēr vēl nav izdoti Ministru kabineta noteikumi uz Inovatīvas uzņēmējdarbības un prioritāro projektu atbalsta likuma 3. panta ceturtās daļas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noteic, ka noteikumu projekta pirmajā punktā secīgi raksta vārdus "noteikumi nosaka" un likumā noteikto pilnvarojumu Ministru kabinetam. Ievērojot minēto, lūdzam precizēt noteikumu projekta 1. punktu, precīzi pārrakstot Ministru kabinetam likumā doto pilnvarojumu. Vēršam uzmanību, ka šobrīd noteikumu projekta 1. punkts korekti nepārraksta Filmu likuma 11. panta trešajā daļā un Inovatīvas uzņēmējdarbības un prioritāro projektu atbalsta likuma 4. panta otrajā daļā paredzētos pilnvarojumus, kuri ir atšķirīgi, un nav korekti noteikumu projekta 1. punktu veidot tā, it kā abi minētie pilnvarojumi būtu vienāda satura. Vēršam uzmanību, ka minēto ir nepieciešams ņemt vērā arī noteikumu projekta saturā, jo tam ir jāatbilst likumā paredzētajam pilnvarojumam. Attiecīgi lūdzam izvērtēt un precizēt noteikumu projekta 1. punktu (piemēram, veidojot divus apakšpunktus atbilstoši abos likumos paredzētajiem pilnvarojumiem un, ja nepieciešams, sadalīt tos mazākās apakšvienībās) un nosaukumu, kā arī, ja nepieciešams,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sniegt skaidrojumu, kādēļ izvēlēts risinājums ar noteikumu projektu paredzēts atzīt par spēku zaudējušiem Ministru kabineta 2022. gada 15. marta noteikumus Nr. 173 "Kārtība, kādā ārvalstu filmu uzņemšanai Latvijā tiek piešķirts valsts budžeta līdzfinansējums", nevis tos grozīt, un attiecīgo regulējumu ietvert vienos Ministru kabineta noteikumos reizē ar regulējumu par komercdarbības atbalsta piešķiršanu dižpasākumu organizēšanai. Lūdzam izvērtēt šāda risinājuma lietderīgumu un sistēmiskumu.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projekta iesniedzējs neveic sadarbību ar Krievijas Federāciju un Baltkrievijas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apakšpunkts noteic prasības, kādām jāatbilst projekta </w:t>
            </w:r>
            <w:r w:rsidR="00000000" w:rsidRPr="00000000" w:rsidDel="00000000">
              <w:rPr>
                <w:u w:val="single"/>
                <w:rtl w:val="0"/>
              </w:rPr>
              <w:t xml:space="preserve">īstenotājam</w:t>
            </w:r>
            <w:r w:rsidR="00000000" w:rsidRPr="00000000" w:rsidDel="00000000">
              <w:rPr>
                <w:rtl w:val="0"/>
              </w:rPr>
              <w:t xml:space="preserve">, attiecīgi lūdzam precizēt projekta 2.1.6. apakšpunktu. Papildus lūdzam izvērtēt un precizēt terminu "projekta iesniedzējs", "projekta īstenotājs" u.tml. lietojumu noteikumu projektā, lietojot konsekventu un saskanīgu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Dižpasākuma īstenotāja projektam ir jāatbilst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2025. gadam un budžeta ietvaru 2025., 2026. un 2027. gadam" 61. panta trešajā daļā dižpasākums panta izpratnē definēts kā "starptautiska mēroga pasākums, kuru organizē, deleģē vai kura sadarbības partneris ir pasaules vai Eiropas mēroga organizācija un kurš rada būtisku ietekmi uz Latvijas tautsaimniecību, piesaistot vismaz 5 000 ārvalstu apmeklētāju un dalībnieku, kas Latvijas tūristu mītnēs vai īstermiņa īres mītnēs pavada vismaz divas naktis". Attiecīgi lūdzam izvērtēt un precizēt anotācijā ietverto skaidrojumu, nodrošinot atbilstību likumā ietvertajai definīcijai, kā arī precizēt noteikumu projektu (piemēram, 15. punktu). Norādām, ka atbilstoši Ministru kabineta 2009. gada 3. februāra noteikumu Nr. 108 "Normatīvo aktu projektu sagatavošanas noteikumi" 121. punktam noteikumu projektā terminus skaidro, lai konkretizētu terminā izteiktā jēdziena izpratnes robežas, ja termins nav skaidrots vai lietots augstāka juridiskā spēka normatīvajā aktā. Alternatīvi lūdzam skaidrot, kādēļ, ņemot vērā, ka likums jau definē attiecīgo terminu (un saskaņā ar anotācijā sniegto informāciju ir piemērojama minētajā likumā paredzētā līdzfinansējuma piešķiršanas procedūra), ir pieļaujams to koriģēt.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īstenotājs - gala labuma guvējs, kas vienlaikus atbilst šādās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 punktā ietvertās prasības, kas pēc savas būtības nav terminu skaidrojumi (piemēram, projekta 2.1. apakšpunkts), ietvert citviet piemērotā vietā projekta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Investīciju un attīstības aģentūra (turpmāk – aģentūra) šim mērķim paredzētā finansējuma ietvaros piesķir atbalstu gala labuma guvējam.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punktā lietotos vārdus "šim mērķim", ja nepieciešams, izmantojot iekšējo atsauci, jo no normas redakcijas nav viennozīmīgi skaidrs, par kādu mērķi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Aģentūra izstrādā un apstiprina konkursa nolikumu un izsludina atklātu  projektu pieteikumu atlasi valsts platformā biznesa attīstībai www.business.gov.lv, norādot projektu iesniegumu iesniegšanas termiņu, atlases  ietvaros pieejamo finansējumu, projektu iesniegumu vērtēšanas kārtību, kā arī vietu, kur var iepazīties ar nolikumu un saņemt papildinformāciju.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noteic, ka Latvijas Investīciju un attīstības aģentūra (turpmāk – aģentūra) izsludina atklātu </w:t>
            </w:r>
            <w:r w:rsidR="00000000" w:rsidRPr="00000000" w:rsidDel="00000000">
              <w:rPr>
                <w:u w:val="single"/>
                <w:rtl w:val="0"/>
              </w:rPr>
              <w:t xml:space="preserve">projektu pieteikumu</w:t>
            </w:r>
            <w:r w:rsidR="00000000" w:rsidRPr="00000000" w:rsidDel="00000000">
              <w:rPr>
                <w:rtl w:val="0"/>
              </w:rPr>
              <w:t xml:space="preserve"> atlasi </w:t>
            </w:r>
            <w:r w:rsidR="00000000" w:rsidRPr="00000000" w:rsidDel="00000000">
              <w:rPr>
                <w:u w:val="single"/>
                <w:rtl w:val="0"/>
              </w:rPr>
              <w:t xml:space="preserve">valsts platformā biznesa attīstībai www.business.gov.lv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 apakšsadaļā ir norādīts, ka aģentūra izsludina atklātu atlasi </w:t>
            </w:r>
            <w:r w:rsidR="00000000" w:rsidRPr="00000000" w:rsidDel="00000000">
              <w:rPr>
                <w:u w:val="single"/>
                <w:rtl w:val="0"/>
              </w:rPr>
              <w:t xml:space="preserve">projekta iesniegumu</w:t>
            </w:r>
            <w:r w:rsidR="00000000" w:rsidRPr="00000000" w:rsidDel="00000000">
              <w:rPr>
                <w:rtl w:val="0"/>
              </w:rPr>
              <w:t xml:space="preserve"> atlasei </w:t>
            </w:r>
            <w:r w:rsidR="00000000" w:rsidRPr="00000000" w:rsidDel="00000000">
              <w:rPr>
                <w:u w:val="single"/>
                <w:rtl w:val="0"/>
              </w:rPr>
              <w:t xml:space="preserve">oficiālajā izdevumā "Latvijas Vēstnesis", aģentūras tīmekļvietnē www.liaa.gov.lv un valsts platformā biznesa attīstībai www.business.gov.lv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9. punktā paredzēto regulējumu vai anotācijas 1.3. apakšsadaļā ietverto informāciju. Turklāt lūdzam lietot vienu terminu attiecībā uz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Projektu pieteicēji atbalstam piesakās, iesniedzot projekta iesniegumu valsts platformā biznesa attīstībai </w:t>
            </w:r>
            <w:r w:rsidR="00000000" w:rsidRPr="00000000" w:rsidDel="00000000">
              <w:rPr>
                <w:rtl w:val="0"/>
              </w:rPr>
              <w:t xml:space="preserve">www.business.gov.lv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punkts paredz, ka projektu pieteicēji atbalstam piesakās tikai, iesniedzot projekta iesniegumu </w:t>
            </w:r>
            <w:r w:rsidR="00000000" w:rsidRPr="00000000" w:rsidDel="00000000">
              <w:rPr>
                <w:u w:val="single"/>
                <w:rtl w:val="0"/>
              </w:rPr>
              <w:t xml:space="preserve">valsts platformā biznesa attīstībai www.business.gov.lv</w:t>
            </w:r>
            <w:r w:rsidR="00000000" w:rsidRPr="00000000" w:rsidDel="00000000">
              <w:rPr>
                <w:rtl w:val="0"/>
              </w:rPr>
              <w:t xml:space="preserve">. Savukārt noteikumu projekta 13. punkta ievaddaļā ir norādīts, kādus dokumentus vienlaikus ar projekta iesniegumu iesniedz </w:t>
            </w:r>
            <w:r w:rsidR="00000000" w:rsidRPr="00000000" w:rsidDel="00000000">
              <w:rPr>
                <w:u w:val="single"/>
                <w:rtl w:val="0"/>
              </w:rPr>
              <w:t xml:space="preserve">aģentūrā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11. un 13. punktu vai papildināt anotācijas 1.3. apakšsadaļu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Dižpasākuma projekta īstenotājs ar projekta iesniegumam pievienot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12. punkta ievaddaļu, jo no pašreizējās redakcijas nav pilnībā skaidrs, vai attiecīgo dokumentu pievienošana ir projekta īstenotāja pienākums vai izvēle.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apliecinājumu, ka dižpasākuma īstenotājs vai tā sadarbības partneri neorganizē ārvalstu viesu izmitināšanu ārpus Latvijas tūristu mītnēm;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projektu, norādot uz Latvijas tūristu mītnēm un īstermiņa īres mītnēm atbilstoši likuma "Par valsts budžetu 2025. gadam un budžeta ietvaru 2025., 2026. un 2027. gadam" 61. panta trešajai daļai, kā arī anotācijā ietvertajiem skaidrojumiem.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deklarāciju par komercsabiedrības atbilstību mazajai (sīkajai), vidējai vai lielajai komercsabiedrībai;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2.1.1. apakšpunktā paredzēto, ka projekta īstenotājs var būt arī biedrība vai nodibinājums, aicinām izvērtēt noteikumu projekta 12.8. apakšpunktā ietvertās prasības piemērošanu attiecībā uz minētajiem subjektiem, un precizēt noteikumu projekta 12.8. apakšpunktu vai arī sniegt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de minimis atbalsta uzskaites sistēmas (turpmāk – sistēma) sagatavoto veidlapas izdruku vai norāda sistēmā izveidotās un apstiprinātās pretendenta veidlapas identifikācijas numuru vai projekta iesnieguma iesniedzēja datus (projekta iesniedzēju vērtējot, tai skaitā, tā saistīto uzņēmumu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12.9. apakšpunktā ietverto prasību un to precizēt, ņemot vērā, ka saskaņā ar 4.1. apakšpunktu var tikt piešķirts ne tikai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projekta iesnieguma iesniedzēja datus (projekta iesniedzēju vērtējot, tai skaitā, tā saistīto uzņēmumu grupas līmenī) grūtībās nonākuša uzņēmuma pazīmju vērtēšanai atbilstoši Komisijas regulas Nr.651/2014 2.panta 18.punkta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13. punktā netiek regulēta projekta iesniedzēja vērtēšana, bet gan tas, kādus dokumentus iesniedz, līdz ar to aicinām redakcionāli precizēt noteikumu projekta 13.11.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tādu preču, pakalpojumu un materiālu iegādes izmaksas, kuri nepieciešami projekta īstenošanas procesā no Latvijā reģistrētiem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17.5. apakšpunktā vārdi "no Latvijā reģistrētiem uzņēmumiem" pēc būtības nedublē noteikumu projekta 18. punktā ietverto prasību. Papildus 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vēršam uzmanību, ka nepieciešams izvērtēt noteikumu projekta tekstu un nodrošināt tā atbilstību Ministru kabineta 2009. gada 3. februāra noteikumiem Nr. 108 "Normatīvo aktu projektu sagatavošanas noteikumi". Tai skaitā un it īpaši nepieciešams novērst regulējuma dublēšanos noteikumu projekta normās (piemēram, noteikumu projekta 17.5. apakšpunkts pirmšķietami daļēji dublē 18. punktā ietverto prasību u.tml.). Tāpat nepieciešams ievērot prasības par juridiskās terminoloģijas konsekvenci, valsts valodas literāro un gramatisko normu un pareizrakstības prasību ievērošanu, kā arī normatīvajiem aktiem atbilstošas vienotās stilistikas izmantošanu, lietot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17.14. sabiedrisko attiecību pakalpojumu izmaksas, kas attiecināmas uz sadarbību ar Latvijas un ārvalstu sabiedrisko attiecību pakalpojumu sniedzējiem, medijiem (publikācijas pirms un pēc pasākuma, konkursi), ārvalstu žurnālistu piesaisti konkrētajam pasākumam, influenceru kampaņām ārvalstīs, ārvalstu mārketinga kampaņu realizēšanu, reklāmas kampaņu organizēšanu;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pēc iespējas pieturzīmi iekavas aizstāt ar pieturzīmi komats vai citu piemērotu pieturzīmi, jo iekavās ietvertais teksts ir būtisks tiesību normas piemērošanā. Norādām, ka iekavās ietvertie skaidrojumi un precizējumi var padarīt tiesību aktu neskaidru un var sašaurināt vai paplašināt tiesību normas tvērumu. Piemēram, noteikumu 17.14. apakšpunktā vārdkopa "publikācijas pirms un pēc pasākuma, konkursi", no kā nav viennozīmīgi skaidrs, vai domāts piemērveida uzskaitījums vai normas tvēruma sašaurinājums. Attiecīgi lūdzam precizēt normu atbilstoši tās mērķim, kā arī izvērtēt citas noteikumu projekta normas.  Savukārt piemērveida uzskaitījumus aicinām ietvert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filmas projekts, kurā ārvalstu finansējums ir mazāks kā  filmas projekta attiecināmās izmaksas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21.3. apakšpunktu redakcionāli precizēt, salāgojot tā izteiksmi ar 21.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projekta iesniegums vai projekta iesnieguma iesniedzējs neatbilst šo noteikumu </w:t>
            </w:r>
            <w:r w:rsidR="00000000" w:rsidRPr="00000000" w:rsidDel="00000000">
              <w:rPr>
                <w:rtl w:val="0"/>
              </w:rPr>
              <w:t xml:space="preserve">1.</w:t>
            </w:r>
            <w:r w:rsidR="00000000" w:rsidRPr="00000000" w:rsidDel="00000000">
              <w:rPr>
                <w:rtl w:val="0"/>
              </w:rPr>
              <w:t xml:space="preserve"> pielikuma 1.1. apakšpunktā minētajam projekta iesniedzēja atbilstības kritērijam vai vienam no šo noteikumu </w:t>
            </w:r>
            <w:r w:rsidR="00000000" w:rsidRPr="00000000" w:rsidDel="00000000">
              <w:rPr>
                <w:rtl w:val="0"/>
              </w:rPr>
              <w:t xml:space="preserve">1.</w:t>
            </w:r>
            <w:r w:rsidR="00000000" w:rsidRPr="00000000" w:rsidDel="00000000">
              <w:rPr>
                <w:rtl w:val="0"/>
              </w:rPr>
              <w:t xml:space="preserve"> pielikuma 2.1., 2.4. vai 2.5. apakšpunktā minētajiem projekta iesnieguma atbilstības kritērijiem, aģentūra pieņem lēmumu par projekta iesnieguma neatbilstību atbilstības vērtēšanas kritērijiem un atsaka noslēgt līdzfinansējuma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V nodaļā paredzēto regulējumu, lietojot vienotus terminus attiecībā uz tajā minētajiem lēmumiem un līgumiem, jo, piemēram, projekta 30. punktā minēts, ka aģentūra pieņem </w:t>
            </w:r>
            <w:r w:rsidR="00000000" w:rsidRPr="00000000" w:rsidDel="00000000">
              <w:rPr>
                <w:u w:val="single"/>
                <w:rtl w:val="0"/>
              </w:rPr>
              <w:t xml:space="preserve">lēmumu par projekta iesnieguma neatbilstību atbilstības vērtēšanas kritērijiem un atsaka noslēgt līdzfinansējuma līgumu</w:t>
            </w:r>
            <w:r w:rsidR="00000000" w:rsidRPr="00000000" w:rsidDel="00000000">
              <w:rPr>
                <w:rtl w:val="0"/>
              </w:rPr>
              <w:t xml:space="preserve">, noteikumu projekta 33. punkts noteic, ka aģentūra pieņem </w:t>
            </w:r>
            <w:r w:rsidR="00000000" w:rsidRPr="00000000" w:rsidDel="00000000">
              <w:rPr>
                <w:u w:val="single"/>
                <w:rtl w:val="0"/>
              </w:rPr>
              <w:t xml:space="preserve">lēmumu par atteikumu noslēgt līdzfinansējuma līgumu</w:t>
            </w:r>
            <w:r w:rsidR="00000000" w:rsidRPr="00000000" w:rsidDel="00000000">
              <w:rPr>
                <w:rtl w:val="0"/>
              </w:rPr>
              <w:t xml:space="preserve">, noteikumu projekta 34. punkts noteic, ka </w:t>
            </w:r>
            <w:r w:rsidR="00000000" w:rsidRPr="00000000" w:rsidDel="00000000">
              <w:rPr>
                <w:u w:val="single"/>
                <w:rtl w:val="0"/>
              </w:rPr>
              <w:t xml:space="preserve">aģentūra pieņem lēmumu par apstiprināšanu vai atbalsta piešķiršanu ar nosacījumu vai par atteikumu noslēgt līdzfinansējuma līgumu</w:t>
            </w:r>
            <w:r w:rsidR="00000000" w:rsidRPr="00000000" w:rsidDel="00000000">
              <w:rPr>
                <w:rtl w:val="0"/>
              </w:rPr>
              <w:t xml:space="preserve">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projekta iesnieguma iesniedzējs 10 darbdienu laikā pēc aģentūras pieprasījuma nosūtīšanas precizēto projekta iesniegumu vai nepieciešamo papildu informāciju iesniedz aģentūrā, tostarp elektroniska dokumenta formā valsts platformā biznesa attīstībai www.business.gov.lv, aģentūra projekta iesniegumu vērtē atkārtoti atbilstoši administratīvās atbilstības vērtēšanas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 punktu, norādot, kur projekta iesnieguma iesniedzējs iesniedz precizēto projekta iesniegumu vai nepieciešamo papildu informāciju, jo no noteikumu projekta 32. punktā minētā izriet, ka </w:t>
            </w:r>
            <w:r w:rsidR="00000000" w:rsidRPr="00000000" w:rsidDel="00000000">
              <w:rPr>
                <w:u w:val="single"/>
                <w:rtl w:val="0"/>
              </w:rPr>
              <w:t xml:space="preserve">projekta iesnieguma iesniedzējam ir pienākums iesniegt precizēto projekta iesniegumu vai nepieciešamo papildu informāciju gan aģentūrā, gan valsts platformā biznesa attīstībai www.business.gov.lv</w:t>
            </w:r>
            <w:r w:rsidR="00000000" w:rsidRPr="00000000" w:rsidDel="00000000">
              <w:rPr>
                <w:rtl w:val="0"/>
              </w:rPr>
              <w:t xml:space="preserve">, vai papildināt anotācijas 1.3. apakšsadaļu ar atbilstošu informāciju par šāda regulējuma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Aģentūra pieņem lēmumu par apstiprināšanu vai atbalsta piešķiršanu ar nosacījumu vai par atteikumu noslēgt līdzfinansējuma līgumu. Tiesības pieņemt lēmumu par atbalsta piešķiršanu ar nosacījumu (kamēr ir pietiekams projekta iesniegumu konkursam paredzētais līdzfinansējums) piešķir projektu iesniegumu iesniegšanas secībā to projekta iesniegumiem, kuri atbilst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pielikumā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34. punktu, norādot, par </w:t>
            </w:r>
            <w:r w:rsidR="00000000" w:rsidRPr="00000000" w:rsidDel="00000000">
              <w:rPr>
                <w:u w:val="single"/>
                <w:rtl w:val="0"/>
              </w:rPr>
              <w:t xml:space="preserve">kā</w:t>
            </w:r>
            <w:r w:rsidR="00000000" w:rsidRPr="00000000" w:rsidDel="00000000">
              <w:rPr>
                <w:rtl w:val="0"/>
              </w:rPr>
              <w:t xml:space="preserve"> apstiprināšanu aģentūra pieņem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Ekonomikas ministrija vienas darba dienas laikā informē aģentūru par līdzfinansējuma līguma slēgšanu pēc Saeimas lēmuma par valsts budžeta līdzekļu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punkts noteic, ka </w:t>
            </w:r>
            <w:r w:rsidR="00000000" w:rsidRPr="00000000" w:rsidDel="00000000">
              <w:rPr>
                <w:u w:val="single"/>
                <w:rtl w:val="0"/>
              </w:rPr>
              <w:t xml:space="preserve">Ekonomikas ministrija vienas darba dienas laikā informē aģentūru par līdzfinansējuma līguma slēgšanu pēc Saeimas lēmuma par valsts budžeta līdzekļu piešķiršanu</w:t>
            </w:r>
            <w:r w:rsidR="00000000" w:rsidRPr="00000000" w:rsidDel="00000000">
              <w:rPr>
                <w:rtl w:val="0"/>
              </w:rPr>
              <w:t xml:space="preserve">. Savukārt anotācijas 1.3. apakšsadaļā norādīts, ka </w:t>
            </w:r>
            <w:r w:rsidR="00000000" w:rsidRPr="00000000" w:rsidDel="00000000">
              <w:rPr>
                <w:u w:val="single"/>
                <w:rtl w:val="0"/>
              </w:rPr>
              <w:t xml:space="preserve">Ekonomikas ministrija iesniedz apropriācijas pārdalei informāciju Ministru kabinetā, Ekonomikas ministrija informē aģentūru par līdzfinansējuma līguma slēgšanu pēc Ministru kabineta lēmuma par valsts budžeta līdzekļu piešķiršanu. Kad piešķirts valsts budžeta finansējums, Ekonomikas ministrija informē aģentūru un attiecīgi aģentūra slēdz līgumu ar projekta iesniedzēju par līdzfinansējuma saņemšanu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37. punktā paredzēto regulējumu vai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Pēc šo noteikumu </w:t>
            </w:r>
            <w:r w:rsidR="00000000" w:rsidRPr="00000000" w:rsidDel="00000000">
              <w:rPr>
                <w:rtl w:val="0"/>
              </w:rPr>
              <w:t xml:space="preserve">37.</w:t>
            </w:r>
            <w:r w:rsidR="00000000" w:rsidRPr="00000000" w:rsidDel="00000000">
              <w:rPr>
                <w:rtl w:val="0"/>
              </w:rPr>
              <w:t xml:space="preserve"> punktā minētās informācijas saņemšanas, aģentūra pieņem lēmumu par nosacījumu izpildi un slēdz līgumu ar gala labuma guvēju par līdzfinansējuma līguma piešķiršanu atbilstoši </w:t>
            </w:r>
            <w:r w:rsidR="00000000" w:rsidRPr="00000000" w:rsidDel="00000000">
              <w:rPr>
                <w:rtl w:val="0"/>
              </w:rPr>
              <w:t xml:space="preserve">34.</w:t>
            </w:r>
            <w:r w:rsidR="00000000" w:rsidRPr="00000000" w:rsidDel="00000000">
              <w:rPr>
                <w:rtl w:val="0"/>
              </w:rPr>
              <w:t xml:space="preserve"> punktā minētajiem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trešā daļa paredz, ka </w:t>
            </w:r>
            <w:r w:rsidR="00000000" w:rsidRPr="00000000" w:rsidDel="00000000">
              <w:rPr>
                <w:u w:val="single"/>
                <w:rtl w:val="0"/>
              </w:rPr>
              <w:t xml:space="preserve">administratīvais akts ir spēkā tik ilgi, līdz to atceļ, izpilda vai vairs nevar izpildīt sakarā ar faktisko vai tiesisko apstākļu maiņu</w:t>
            </w:r>
            <w:r w:rsidR="00000000" w:rsidRPr="00000000" w:rsidDel="00000000">
              <w:rPr>
                <w:rtl w:val="0"/>
              </w:rPr>
              <w:t xml:space="preserve">. Savukārt Administratīvā procesa likuma 85. panta otrās daļas 1. un 2. punkts paredz, ka </w:t>
            </w:r>
            <w:r w:rsidR="00000000" w:rsidRPr="00000000" w:rsidDel="00000000">
              <w:rPr>
                <w:u w:val="single"/>
                <w:rtl w:val="0"/>
              </w:rPr>
              <w:t xml:space="preserve">adresātam labvēlīgu tiesisku administratīvo aktu var atcelt tad, ja tiesību norma paredz administratīvā akta atcelšanu vai administratīvais akts ietver tā atcelšanas atrunu vai ja administratīvais akts izdots ar kādu citu nosacījumu un šis nosacījums nav vispār izpildīts, nav pienācīgi izpildīts vai nav laikus izpildīts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kontrolējot lēmumā ietvertā nosacījuma izpildi, aģentūra konstatēs, vai nosacījums ir izpildīts vai nē. Attiecīgi, ja nosacījums būs izpildīts, pieņemams lēmums par projekta iesnieguma apstiprināšanu, savukārt, ja nosacījums nebūs izpildīts, pieņemams lēmums par projekta iesnieguma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38.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Aģentūra atsaka izmaksāt atbalstu gala labuma guvējam, ja pie noslēguma pārskata tas nepierāda pie projekta iesnieguma norādīto prognozēto PVN.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noteikumu projekta 44. punktā ietvertās normas nepieciešamību un samērīgumu. Aicinām arī skaidrot, vai norma attiecas gan uz dižpasākumu projektiem, gan uz ārvalstu filmu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Tūristu mītnes atbilstoši Ministru kabineta 2021. gada 30. novembra noteikumos Nr. 782 “Noteikumi par Oficiālās statistikas programmu 2022.–2024. gadam” noteiktajam, sniedzot datus Centrālās statistikas pārvaldei, papildus sniedz datus par izmitinātajiem dižpasākumu viesiem, norādot skaitu, izcelsmes valsti, uzturēšanās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anotācijā sniegt skaidrojumu par tūristu mītņu iespējām izpildīt noteikumu projekta 46. punktā ietverto pienākumu (piemēram, vai tūristu mītnēm ir pieejami dati par to, vai konkrētais viesis ir apmeties tūristu mītnē ar mērķi apmeklēt dižpasākumu).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Tūristu mītnes atbilstoši Ministru kabineta 2021. gada 30. novembra noteikumos Nr. 782 “Noteikumi par Oficiālās statistikas programmu 2022.–2024. gadam” noteiktajam, sniedzot datus Centrālās statistikas pārvaldei, papildus sniedz datus par izmitinātajiem dižpasākumu viesiem, norādot skaitu, izcelsmes valsti, uzturēšanās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2021. gada 30. novembra noteikumi Nr. 782 "Noteikumi par Oficiālās statistikas programmu 2022.–2024. gadam" ir zaudējuši spēku, lūdzam precizēt noteikumu projekta 46. punktu un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projekts tiek atcelts vai netiek īstenots atbilstoši kritērijiem, gala labuma guvējs atmaksā aģentūrai visu avansā saņemtā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konkretizēt, par kādiem kritērijiem noteikumu projekta 48. punktā ir runa, ja nepieciešams, izmantojot iekšējo atsauci uz citu noteikumu vienību vai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ietvaros atbalstu, kas piešķirts saskaņā ar Komisijas regulu Nr.651/2014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w:t>
            </w:r>
            <w:r w:rsidR="00000000" w:rsidRPr="00000000" w:rsidDel="00000000">
              <w:rPr>
                <w:rtl w:val="0"/>
              </w:rPr>
              <w:t xml:space="preserve">Nr.2023/2831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Visas attiecināmās izmaksas, kas pārsniedz Komisijas regulā Nr. 651/2014 noteikto maksimāli pieļaujamo intensitāti, atbalsta saņēmējs sedz no līdzekļiem, kas nav saistīti ar jebkādu valsts atbalstu, tai skaitā </w:t>
            </w:r>
            <w:r w:rsidR="00000000" w:rsidRPr="00000000" w:rsidDel="00000000">
              <w:rPr>
                <w:i w:val="1"/>
                <w:rtl w:val="0"/>
              </w:rPr>
              <w:t xml:space="preserve">de minimis</w:t>
            </w:r>
            <w:r w:rsidR="00000000" w:rsidRPr="00000000" w:rsidDel="00000000">
              <w:rPr>
                <w:rtl w:val="0"/>
              </w:rPr>
              <w:t xml:space="preserve">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anotācijā skaidrot, par kādu </w:t>
            </w:r>
            <w:r w:rsidR="00000000" w:rsidRPr="00000000" w:rsidDel="00000000">
              <w:rPr>
                <w:i w:val="1"/>
                <w:rtl w:val="0"/>
              </w:rPr>
              <w:t xml:space="preserve">ad-hoc</w:t>
            </w:r>
            <w:r w:rsidR="00000000" w:rsidRPr="00000000" w:rsidDel="00000000">
              <w:rPr>
                <w:rtl w:val="0"/>
              </w:rPr>
              <w:t xml:space="preserve"> lēmumu un Eiropas Komisijas lēmumu noteikumu projektā (piemēram, 61. punktā) ir runa, kā arī kādēļ ir nepieciešams un pieļaujams uz to ietvert atsauci noteikumu projektā. Atgādinām, ka saskaņā ar Līguma par Eiropas Savienības darbību 288.pantu lēmumi, kuros ir norādīti konkrēti adresāti, ir saistoši tikai šiem adresātiem. Ja lēmumu adresāts ir dalībvalstis un ir nepieciešams to normas padarīt saistošas privātpersonām, tad lēmumi ir jāpārņem valsts tiesību sistēmā tāpat kā direktīvas. Attiecīgi aicinām izvērtēt iespēju atsauci svītrot vai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paredzēts, ka "[g]adījumā, ja gala labuma guvējam, kurš īsteno dižpasākumu un gala labuma guvējam, kurš īsteno ārvalstu filmu uzņemšanu ir iegūts vienāds punktu skaits, tad prioritāri atbalstu piešķir tam gala labuma guvējam, kurš ir norādījis lielāko PVN ieņēmumu attiecību pret līdzfinansējumu". Aicinām izvērtēt, vai nav nepieciešams arī noteikt prioritāro atbalsta piešķiršanu gadījumā, ja vienāds punktu skaits ir gala labuma guvējam, kurš īsteno dižpasākumu, un gala labuma guvējam, kurš īsteno citu dižpasākumu (līdzīgi arī gala labuma guvējam, kurš īsteno ārvalstu filmas uzņemšanu, un gala labuma guvējam, kurš īsteno citas ārvalsts filmas uzņemšanu). Attiecīgi aicinām precizēt noteikumu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noteikumu projektā ietvertā regulējuma korelāciju ar likuma "Par valsts budžetu 2025. gadam un budžeta ietvaru 2025., 2026. un 2027. gadam" 60.-62. pantā paredzēto procesu valsts budžeta līdzfinansējumu dižpasākumu organizēšanai un ārvalstu filmu uzņemšanai Latvijā piešķiršanai. Citastarp lūdzam skaidrot, par kādu Saeimas lēmumu noteikumu projekta 37. punktā ir runa.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noteikumu projektā paredzēts, ka "gala labuma guvējs neietilpst Padomes 2014.gada 31. jūlija Regulas (ES) Nr. 833/2014 par ierobežojošiem pasākumiem saistībā ar Krievijas darbībām, kas destabilizē situāciju Ukrainā, 5.</w:t>
            </w:r>
            <w:r w:rsidR="00000000" w:rsidRPr="00000000" w:rsidDel="00000000">
              <w:rPr>
                <w:vertAlign w:val="superscript"/>
                <w:rtl w:val="0"/>
              </w:rPr>
              <w:t xml:space="preserve">1</w:t>
            </w:r>
            <w:r w:rsidR="00000000" w:rsidRPr="00000000" w:rsidDel="00000000">
              <w:rPr>
                <w:rtl w:val="0"/>
              </w:rPr>
              <w:t xml:space="preserve"> pantā norādītajos veidojumos". Vēršam uzmanību, ka noteikumu projekts paredz prasību, ka projekta iesniedzējs neveic sadarbību ar Krievijas Federāciju un Baltkrievijas Republiku. Attiecīgi lūdzam nodrošināt anotācijā ietverto skaidrojumu atbilstību noteikumu projektā ietvertajam regulējumam vai, ja nepieciešams, precizēt noteikumu projektu. Alternatīvi aicinām sniegt skaidrojumu par abu minēto prasību mijiedarbību. Kā arī norādām, ka minētajā regulā nav 5.</w:t>
            </w:r>
            <w:r w:rsidR="00000000" w:rsidRPr="00000000" w:rsidDel="00000000">
              <w:rPr>
                <w:vertAlign w:val="superscript"/>
                <w:rtl w:val="0"/>
              </w:rPr>
              <w:t xml:space="preserve">1 </w:t>
            </w:r>
            <w:r w:rsidR="00000000" w:rsidRPr="00000000" w:rsidDel="00000000">
              <w:rPr>
                <w:rtl w:val="0"/>
              </w:rPr>
              <w:t xml:space="preserve">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24.01.2025.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24.01.2025.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Atzinumi_24-TA-3285.docx</dc:title>
</cp:coreProperties>
</file>

<file path=docProps/custom.xml><?xml version="1.0" encoding="utf-8"?>
<Properties xmlns="http://schemas.openxmlformats.org/officeDocument/2006/custom-properties" xmlns:vt="http://schemas.openxmlformats.org/officeDocument/2006/docPropsVTypes"/>
</file>