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Izglītības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norādīta ietekme uz valsts budžetu 35 535 418 </w:t>
            </w:r>
            <w:r w:rsidR="00000000" w:rsidRPr="00000000" w:rsidDel="00000000">
              <w:rPr>
                <w:i w:val="1"/>
                <w:rtl w:val="0"/>
              </w:rPr>
              <w:t xml:space="preserve">euro</w:t>
            </w:r>
            <w:r w:rsidR="00000000" w:rsidRPr="00000000" w:rsidDel="00000000">
              <w:rPr>
                <w:rtl w:val="0"/>
              </w:rPr>
              <w:t xml:space="preserve"> apmērā 2025.gadā un 105 505 639 </w:t>
            </w:r>
            <w:r w:rsidR="00000000" w:rsidRPr="00000000" w:rsidDel="00000000">
              <w:rPr>
                <w:i w:val="1"/>
                <w:rtl w:val="0"/>
              </w:rPr>
              <w:t xml:space="preserve">euro</w:t>
            </w:r>
            <w:r w:rsidR="00000000" w:rsidRPr="00000000" w:rsidDel="00000000">
              <w:rPr>
                <w:rtl w:val="0"/>
              </w:rPr>
              <w:t xml:space="preserve"> apmērā 2026. gadā un turpmāk ik gadu, vienlaikus norādot, ka jautājums par papildu finansējuma piešķiršanu 2025., 2026., 2027. gadam un turpmākajiem gadiem, skatāms likumprojekta “Par valsts budžetu 2025. gadam un budžeta ietvaru 2025., 2026. un 2027. gadam”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š.g.18.jūnija (prot. Nr. 25 74.§) lēmumam likumprojekta "Par valsts budžetu 2025. gadam un budžeta ietvaru 2025., 2026. un 2027. gadam" sagatavošanā kā vienīgais vidēja termiņa budžeta prioritāro attīstības virziens tika noteikts valsts drošība un ministrijas iesniedz priekšlikumus prioritārajiem pasākumiem, tikai kas saistīti ar valsts drošību. Savukārt citu vidēja termiņa budžeta prioritāro attīstības virzienu noteikšana iespējama, pārskatot ministriju un citu centrālo valsts iestāžu esošo budžeta programmu/apakšprogrammu izdevumus un pārvirzot resursus aktuālākiem prioritārajiem pasākumiem vai rodot papildu finansējuma avotus, attiecīgi sagatavojot fiskāli neitrālus priekšlikumus jaunu prioritāro pasākumu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atbalstāma tādu normu iekļaušana likumprojektā, kurām nav finansiālā seguma, šobrīd nevaram atbalstīt  likumprojekta tālāku virzību līdz brīdim, kad Ministru kabinetā būs pieņemts lēmums par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kāpēc anotācijas 3.sadaļas apakšsadaļā "Cita informācija" norādīts, ka Valsts izglītības informācijas sistēmas uzlabojumiem saistībā ar jaunā pedagogu darba samaksas finansēšanas modeļa ieviešanu, kas pēc būtības ir vienreizējs pasākums, nepieciešams finansējums 550 308 </w:t>
            </w:r>
            <w:r w:rsidR="00000000" w:rsidRPr="00000000" w:rsidDel="00000000">
              <w:rPr>
                <w:i w:val="1"/>
                <w:rtl w:val="0"/>
              </w:rPr>
              <w:t xml:space="preserve">euro</w:t>
            </w:r>
            <w:r w:rsidR="00000000" w:rsidRPr="00000000" w:rsidDel="00000000">
              <w:rPr>
                <w:rtl w:val="0"/>
              </w:rPr>
              <w:t xml:space="preserve"> apmērā 2025.gadā </w:t>
            </w:r>
            <w:r w:rsidR="00000000" w:rsidRPr="00000000" w:rsidDel="00000000">
              <w:rPr>
                <w:b w:val="1"/>
                <w:rtl w:val="0"/>
              </w:rPr>
              <w:t xml:space="preserve">un turpmāk ik gadu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skaidrot vai precizēt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norādītā finansiālā ietekme uz valsts un pašvaldību budžetiem nesakrīt ar Finanšu ministrijas rīcībā pieejamajiem Izglītības un zinātnes ministrijas iesniegtajiem aprēķiniem, līdz ar to lūdzam precizēt vai attiecīgi skaidrot.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tabulā aizpildāms arī 5.1. un 5.3.apakšpunkts par precizēto finansiālo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19.08.2024.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19.08.2024.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Atzinumi_24-TA-234.docx</dc:title>
</cp:coreProperties>
</file>

<file path=docProps/custom.xml><?xml version="1.0" encoding="utf-8"?>
<Properties xmlns="http://schemas.openxmlformats.org/officeDocument/2006/custom-properties" xmlns:vt="http://schemas.openxmlformats.org/officeDocument/2006/docPropsVTypes"/>
</file>