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projektā neatsaukties uz Atveseļošanas un noturības mehānisma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 apakšpunktā norādīt atskaites punktu 15 darbdienu termiņa (projekta iesnieguma izvērtēšanai)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23.2. apakšpunktā kā priekšnoteikumu lēmuma pieņemšanai par projekta iesnieguma apstiprināšanu un vienošanās par Atveseļošanas fonda finansējuma pārvaldīšanu, tā piešķiršanas, izlietošanas un uzraudzības kārtību noslēgšanai paredzēt prasību, ka uz projekta iesnieguma iesniedzēju nav attiecināmi regulas Nr. 2018/1046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24.16. informāciju par projekta pieteikumu iesniegšanu publicēt informācijas sistēmā "Valsts platforma biznesa attīstībai" (www.business.gov.lv);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cita starpā lietoti termini "projekta iesniegums", "projekta pieteikums" un "atbalsta pieteikums", par ko nav gūstama pārliecība, ka ar tiem ir saprotams viens un tas pats jēdziens. Papildus vēršam uzmanību, ka noteikumu projektā skaidrots arī termins "projekts", kas tiek šauri attiecināts vienīgi uz noteiktām darbībām, bet nav lietots konsekventi, jo, piemēram, termins "projekta iesniegums" ir ar atšķirīgu nozīmi un attiecas uz citu projektu. Attiecīgi lūdzam atbilstoši precizēt noteikumu projektu, nodrošinot konsekventu un vienveidīgu terminoloģiju,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biedru sarakstu (attiecināms uz biedrībām un nodibinājumiem);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35.2. apakšpunktu. Norādām, ka nav skaidrs, kādēļ attiecīgā norma ir attiecināma uz nodibinājumiem, ņemot vērā, ka nodibinājumam kā mantas kopumam, kurš nodalīts dibinātāja noteiktā mērķa sasniegšanai, nav biedru.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 nemateriālie aktīvi atbilst Komisijas regulas Nr. 651/2014 14. panta 8. punktā minētajiem nosacījumiem. Lieliem komersantiem nemateriālos aktīvus var finansēt līdz 50% no sākotnējo ieguldījumu kopējām attiecināmajām ieguldījumu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lūdzam precizēt noteikumu projekta 58. punktu, nepārrakstot (neskaidrojot) (sk. 58.2. punktu un 58.3. punkta pirmo teikumu u.c.) un nedublējot (sk. 58.3., 58.6. apakšpunkta otro teikumu u.c.)  Eiropas Komisijas 2014. gada 17. jūnija Regulas (ES) Nr. 651/2014, ar ko noteiktas atbalsta kategorijas atzīst par saderīgām ar iekšējo tirgu, piemērojot Līguma 107. un 108. pantu,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 vai Eiropas Komisijas 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89. punktā svītrot atsauci uz Eiropas Savienības lēmumu.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16.11.2022.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16.11.2022.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