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Tiesiskā regulējuma ietekme uz tautsaimniecību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 ir iepazinusies ar Finanšu ministrijas grozījumiem Finanšu instrumentu tirgus likumā un secina, ka anotācijas 2.1. sadaļā tiek norādīts, ka nodrošināto obligāciju emisijas gadījumā</w:t>
            </w:r>
            <w:r w:rsidR="00000000" w:rsidRPr="00000000" w:rsidDel="00000000">
              <w:rPr>
                <w:b w:val="1"/>
                <w:rtl w:val="0"/>
              </w:rPr>
              <w:t xml:space="preserve"> ietekme var būt uz jebkuru tautsaimniecības nozari</w:t>
            </w:r>
            <w:r w:rsidR="00000000" w:rsidRPr="00000000" w:rsidDel="00000000">
              <w:rPr>
                <w:rtl w:val="0"/>
              </w:rPr>
              <w:t xml:space="preserve">, kuru pārstāv uzņēmumi, kas piesaista finansējumu kapitāla tirgū. Aicinām anotācijas 2. sadaļu papildināt ar tiesiskā regulējuma ietekmi uz tautsaimniecību, kā arī izmaksu monetāro novērtējumu.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23-TA-2524</w:t>
    </w:r>
    <w:r>
      <w:br/>
    </w:r>
    <w:r w:rsidR="00000000" w:rsidRPr="00000000" w:rsidDel="00000000">
      <w:rPr>
        <w:rtl w:val="0"/>
      </w:rPr>
      <w:t xml:space="preserve">Izdrukāts 05.02.2024.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23-TA-2524</w:t>
    </w:r>
    <w:r>
      <w:br/>
    </w:r>
    <w:r w:rsidR="00000000" w:rsidRPr="00000000" w:rsidDel="00000000">
      <w:rPr>
        <w:rtl w:val="0"/>
      </w:rPr>
      <w:t xml:space="preserve">Izdrukāts 05.02.2024.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