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2014. gada 2. septembra noteikumos Nr. 529 "Ēku būvnoteikumi"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 Ministru kabineta noteikumu projektā "Grozījumi Ministru kabineta 2014. gada 2. septembra noteikumos Nr. 529 "Ēku būvnoteikumi"" (turpmāk – projekts) paredzēto Ministru kabineta 2014. gada 2. septembra noteikumu Nr. 529 "Ēku būvnoteikumi" 238. punkta otro teikumu, norādot, kas ir tajā minētie grozījumi.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Māliņa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projekta sākotnējās ietekmes </w:t>
            </w:r>
            <w:r w:rsidR="00000000" w:rsidRPr="00000000" w:rsidDel="00000000">
              <w:rPr>
                <w:i w:val="1"/>
                <w:rtl w:val="0"/>
              </w:rPr>
              <w:t xml:space="preserve">(ex-ante)</w:t>
            </w:r>
            <w:r w:rsidR="00000000" w:rsidRPr="00000000" w:rsidDel="00000000">
              <w:rPr>
                <w:rtl w:val="0"/>
              </w:rPr>
              <w:t xml:space="preserve"> novērtējuma ziņojuma (anotācijas) 1.3. apakšsadaļā ietverto informāciju par to, ko noteic projektā paredzētais Ministru kabineta 2014. gada 2. septembra noteikumu Nr. 529 "Ēku būvnoteikumi" 238. punkts.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Māliņa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24-TA-434</w:t>
    </w:r>
    <w:r>
      <w:br/>
    </w:r>
    <w:r w:rsidR="00000000" w:rsidRPr="00000000" w:rsidDel="00000000">
      <w:rPr>
        <w:rtl w:val="0"/>
      </w:rPr>
      <w:t xml:space="preserve">Izdrukāts 06.09.2024.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24-TA-434</w:t>
    </w:r>
    <w:r>
      <w:br/>
    </w:r>
    <w:r w:rsidR="00000000" w:rsidRPr="00000000" w:rsidDel="00000000">
      <w:rPr>
        <w:rtl w:val="0"/>
      </w:rPr>
      <w:t xml:space="preserve">Izdrukāts 06.09.2024.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