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Investīciju un attīstības aģentūras sadarbību ar Eiropas Investīciju Banku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(6.lp pirmā rindkopa) ir ietverta informācija, ka “Pilotprojekts kalpos kā pamats turpmākai augstas pievienotās vērtības sadarbībai starp EIB un RTU arī pēc līguma termiņa beigām, nodrošinot pēctecību un pilotprojekta rezultātu praktisku ieviešanu” lūdzu informatīvajā ziņojumā skaidrot, kā citas zinātniskās institūcijas, kuras sniedz nozīmīgu pētniecības un inovācijas pienesumu RIS3 specializācijas jomās Latvijā, varēs izmantot Līguma 3.aktivitātes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II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Kapacitātes veidošanas programma</w:t>
            </w:r>
            <w:r w:rsidR="00000000" w:rsidRPr="00000000" w:rsidDel="00000000">
              <w:rPr>
                <w:rtl w:val="0"/>
              </w:rPr>
              <w:t xml:space="preserve"> sastāvēs no šādām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plūsma: Līdzekļu piesaistes navigācijas un apmācību programmas izstrāde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w:t>
            </w:r>
            <w:r w:rsidR="00000000" w:rsidRPr="00000000" w:rsidDel="00000000">
              <w:rPr>
                <w:b w:val="1"/>
                <w:rtl w:val="0"/>
              </w:rPr>
              <w:t xml:space="preserve"> EIC Accelerator programmas, EIC pirmsakseleratora, EIC STEP</w:t>
            </w:r>
            <w:r w:rsidR="00000000" w:rsidRPr="00000000" w:rsidDel="00000000">
              <w:rPr>
                <w:rtl w:val="0"/>
              </w:rPr>
              <w:t xml:space="preserve">, Inovāciju fonda, EDF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specifikācija, bet ne tikai). Apmācības programma (jānodrošina, izmantojot pieejamu atvērtu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vietni) ietvers mācību materiālus un sniegs norādījumus jaunuzņēmumiem/MVU.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plūsma: “Apmācību veicēju apmācības” programmas izstrāde un īstenošana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navigācijā (jānodrošina, izmantojot pieejamu atvērtu tīmekļa vietni) galvenajām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ieinteresētajām personām valsts ekosistēmās, piemēram, tehnoloģiju pārneses birojiem,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norādīt, ka tiks nodrošināta demarkācija ar jau īstenošajām esošajām aktivitātēm, kas finansētas no Atveseļošanās fonda, ERAF un citiem avotiem, kas vērstas uz Apvārsnis Eiropa, tai skaitā Eiropas Inovāciju centra (EIC) projektu kapacitātes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 RTU ir izvēlēta kā pilotprojekta institūcija, jo tā ir vadošā pētniecības un talantu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 visās RIS3 specializācijas jomās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RTU stratēģisko specializāciju, kā arī papildināt ar informāciju saistībā ar ziņojumā iekļauto apgalvojumu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norādīts: "lai sasniegtu augstākus rezultātus RIS3 stratēģiju ieviešanā,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novērtēt šo stratēģiju konkurētspēju, mērogojamību un potenciālu starptautiskā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Šim nolūkam nepieciešama starptautiska ekspertīze, kas ļautu izvērtēt,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stratēģijas ir mērogojamas, kā arī identificēt konkrētas darbības,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to veiksmīgai mērogošanai un starptautiskas konkurētspējas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tam, ka RIS3 stratēģiju starptautisks neatkarīgs peer-review noteikti ir noderīgs stratēģiju kvalitātes uzlabošanā, vēršam uzmanību uz to, ka RIS3 kā pieprasījuma puses paradigma iestrādāta kohēzijas politikas un reģionālās attīstības regulējumos un plānos pašreizējā daudzgadu finanšu shēmas periodā 2021.-2027.g., savukārt Eiropas Komisijas priekšlikumā 2028.-2034. gadu daudzgadu finanšu shēmai RIS3 vairs ekspliciti neparādās.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uz ko būtu attiecināmas un kā tiktu finansētas mērogotās un stiprinātās RIS3 stratēģijas, ņemto vērā to, ka 2021.-2027.g. daudzgadu finanšu shēmā kohēzijas politikas/reģionālās attīstības instrumentos absolūti lielākais finansējuma apjoms jau ir izkontraktēts, savukārt Komnisijas priekšlikumā 2028.-2034. gadu daudzgadu finanšu shēmai RIS3 vairs ekspliciti neparādās. Līdz ar to būtu aktuāls jautājums par nacionālā finansējuma ieguldīšanu RIS3 stratēģiju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25-TA-3021</w:t>
    </w:r>
    <w:r>
      <w:br/>
    </w:r>
    <w:r w:rsidR="00000000" w:rsidRPr="00000000" w:rsidDel="00000000">
      <w:rPr>
        <w:rtl w:val="0"/>
      </w:rPr>
      <w:t xml:space="preserve">Izdrukāts 07.01.2026.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25-TA-3021</w:t>
    </w:r>
    <w:r>
      <w:br/>
    </w:r>
    <w:r w:rsidR="00000000" w:rsidRPr="00000000" w:rsidDel="00000000">
      <w:rPr>
        <w:rtl w:val="0"/>
      </w:rPr>
      <w:t xml:space="preserve">Izdrukāts 07.01.2026.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Atzinumi_25-TA-3021.docx</dc:title>
</cp:coreProperties>
</file>

<file path=docProps/custom.xml><?xml version="1.0" encoding="utf-8"?>
<Properties xmlns="http://schemas.openxmlformats.org/officeDocument/2006/custom-properties" xmlns:vt="http://schemas.openxmlformats.org/officeDocument/2006/docPropsVTypes"/>
</file>