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lauksaimniecības un zivsaimniecības tirgus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atbalsta piešķiršanas kārtība lauksaimniecības un zivsaimniecības tirgus veicināšanai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prezidenta 2023.gada 21.marta rezolūciju Nr.23-MPI-16, kas būtībā paredz nozaru ministrijām uzdevumu pārskatīt piešķirto finansējumu 2023.gadā, kā arī finanšu ministra un zemkopības ministra tikšanās reizē pārrunātajam,  lūdzam izvērtēt iespēju nevirzīt noteikumu projektu apstiprināšanai un informāciju par noteikumu projekta īstenošanai paredzēto finansējumu 500 000 </w:t>
            </w:r>
            <w:r w:rsidR="00000000" w:rsidRPr="00000000" w:rsidDel="00000000">
              <w:rPr>
                <w:i w:val="1"/>
                <w:rtl w:val="0"/>
              </w:rPr>
              <w:t xml:space="preserve">euro</w:t>
            </w:r>
            <w:r w:rsidR="00000000" w:rsidRPr="00000000" w:rsidDel="00000000">
              <w:rPr>
                <w:rtl w:val="0"/>
              </w:rPr>
              <w:t xml:space="preserve"> apmērā 2023.gadā, kas paredzēts Zemkopības ministrijas budžeta apakšprogrammā 21.01.00 "Valsts atbalsts lauksaimniecības un lauku attīstībai", iesniegt Finanšu ministrijā kā resursus, kas būtu pārdalāmi veselības nozarei.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atbalstu drīkst kumulēt ar citu </w:t>
            </w:r>
            <w:r w:rsidR="00000000" w:rsidRPr="00000000" w:rsidDel="00000000">
              <w:rPr>
                <w:i w:val="1"/>
                <w:rtl w:val="0"/>
              </w:rPr>
              <w:t xml:space="preserve">de minimis</w:t>
            </w:r>
            <w:r w:rsidR="00000000" w:rsidRPr="00000000" w:rsidDel="00000000">
              <w:rPr>
                <w:rtl w:val="0"/>
              </w:rPr>
              <w:t xml:space="preserve"> atbalstu pārtikas produktu ražotājiem un tirgotājiem līdz regulas Nr. 1407/2013 3. panta 2. punktā noteiktajam attiecīgajam robežlielumam saskaņā ar regulas Nr. 1407/2013 5. panta 1. punktu un lauksaimniecības produktu ražotājiem un tirgotājiem  līdz regulas Nr. 1408/2013 3. panta 3.a punktā noteiktajam attiecīgajam robežlielumam saskaņā ar regulas Nr. 1408/2013 5. panta 1. un 2. punktu, kā arī ar citu valsts atbalstu attiecībā uz vienām un tām pašām attiecināmajām izmaksām vai valsts atbalstu tam pašam riska finansējuma pasākumam, ja ar šo kumulāciju netiek pārsniegta attiecīgā maksimālā atbalsta intensitāte vai atbalsta summa, kura konkrētajā gadījumā īpašiem apstākļiem noteikta attiecīgajā valsts atbalsta programmā, Komisijas grupu atbrīvojuma regulā vai lēmumā, saskaņā ar regulas Nr. 1407/2013 5. panta 2. punktu vai regulas Nr. 1408/2013 5. panta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kumulācija atbalsta programmā tiek atļauta, aicinām veikt tehnisku precizējumu un atgriezt no noteikumu projekta 16.2. un 63.2.apakšpunktu redakcijas dzēsto Eiropas Komisijas lēmumu, lai būtu viennozīmīgi skaidrs, ka ar šo kumulāciju netiek pārsniegta attiecīgā maksimālā atbalsta intensitāte vai atbalsta summa, kura konkrētajā gadījumā īpašiem apstākļiem noteikta attiecīgajā valsts atbalsta programmā, Komisijas grupu atbrīvojuma regulā vai Eiropas Komisijas lēmumā.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Suzanna Kuļčuka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23-TA-775</w:t>
    </w:r>
    <w:r>
      <w:br/>
    </w:r>
    <w:r w:rsidR="00000000" w:rsidRPr="00000000" w:rsidDel="00000000">
      <w:rPr>
        <w:rtl w:val="0"/>
      </w:rPr>
      <w:t xml:space="preserve">Izdrukāts 06.06.2023.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23-TA-775</w:t>
    </w:r>
    <w:r>
      <w:br/>
    </w:r>
    <w:r w:rsidR="00000000" w:rsidRPr="00000000" w:rsidDel="00000000">
      <w:rPr>
        <w:rtl w:val="0"/>
      </w:rPr>
      <w:t xml:space="preserve">Izdrukāts 06.06.2023.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Atzinumi_23-TA-775.docx</dc:title>
</cp:coreProperties>
</file>

<file path=docProps/custom.xml><?xml version="1.0" encoding="utf-8"?>
<Properties xmlns="http://schemas.openxmlformats.org/officeDocument/2006/custom-properties" xmlns:vt="http://schemas.openxmlformats.org/officeDocument/2006/docPropsVTypes"/>
</file>