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"Digitālās desmitgades stratēģiskais ceļvedis Latvijai līdz 2030.gadam"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tabulu Nr.12.3.2., pie trešā pasākuma “Iespējkapitāla ieguldījumi” norādot korekto atbalstāmo uzņēmumu skaitu un atbalstāmo jaunuzņēmumu skaitu. Saskaņā ar Ministru kabineta 2023. gada 5. septembra noteikumu Nr. 510 "Eiropas Savienības kohēzijas politikas programmas 2021.–2027. gadam finanšu instrumentu kopīgie īstenošanas noteikumi" 10. un 11.punktu atbalstīto uzņēmumu skaits ir 80 uzņēmumi, bet atbalstīto jaunuzņēmumu skaits - 45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11.3.2.sadaļas tabulas par pasākumu Nr.5 (2.3.1.2.i. investīcija un 1.1.2.2.pasākums) sadaļā "Sagaidāmā ietekme un laika ietvars",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apstiprinātiem ANM plāna grozījumiem korektu atbalstāmo komersantu skaitu: līdz 30.06.2024. - 1 080; līdz 30.06.2026. - 2 521.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 ir ANM 2.3.1.2.i. investīcija. 3) svītrot dubultā ietverto informāciju par laika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8.3.2. tabulā "Pasākumu apraksts" sniegto informāciju. Informējam, ka saskaņā ar apstiprinātiem ANM plāna grozījumiem 2.2.1.1.i. investīcijai šāds nosacījums: to digitālās transformācijas ceļvežu skaits, ko Eiropas digitālo inovāciju centrs (EDIC) izdevis vienībām, kas nav mazie un vidējie uzņēmumi, vidējas kapitalizācijas sabiedrības un publiskais sektors: 50 līdz 2024.gada 30.jūnijam un 100 līdz 2026.gada 30.jūnijam.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3.3.1. tabulā iekļauto nosaukumu "“Nodarbināto vecumā no 25 gadiem profesionālās kompetences uzlabošana” ar 3.3.2.tabulā "Pasākumu apraksts" norādīto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2.3.2. tabulā Pasākumā Nr.2 svītrot "ESF un", jo ES fondu 2021-2027.g. plānošanas periodā ir ESF Plus.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Kohēzijas programmas 2021-2027. gadam (KP) 1.4.1.3. pasākuma pareizais nosaukums ir "Nākamās paaudzes tīkla izveide lauku teritorijās". Atkārtoti vēršam uzmanību, ka "vidējās jūdzes" investīcijas netiek plānotas KP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1.4.1.3. atbalstāmajās darbībās tiks paredzēti arī ieguldījumi, kas būs saistīti ar "vidējo jūdzi", lūdzam atbilstoši precizēt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1.4.1.3. pasākuma finansējums ir šāds: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Kopējais finansējums: 13 050 000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ERAF finansējums: 11 092 500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Nacionālais līdzfinansējums: 1 957 500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12.3.apakšsadaļas “Politika, pasākumi un darbības digitālo mērķrādītāju sasniegšanai”” apakšdaļā 12.3.2. “Pasākumu apraksts” (84.lpp.) pie 1.pasākuma “Jaunuzņēmumu darbības atbalsta likums” precizēt normatīvā akta nosaukumu -  Ministru kabineta 2016.gada 29.septembra rīkojums Nr.566 “Par konceptuālo ziņojumu "Par </w:t>
            </w:r>
            <w:r w:rsidR="00000000" w:rsidRPr="00000000" w:rsidDel="00000000">
              <w:rPr>
                <w:b w:val="1"/>
                <w:rtl w:val="0"/>
              </w:rPr>
              <w:t xml:space="preserve">uzņēmējdarbības</w:t>
            </w:r>
            <w:r w:rsidR="00000000" w:rsidRPr="00000000" w:rsidDel="00000000">
              <w:rPr>
                <w:rtl w:val="0"/>
              </w:rPr>
              <w:t xml:space="preserve"> uzsākšanas un mazās </w:t>
            </w:r>
            <w:r w:rsidR="00000000" w:rsidRPr="00000000" w:rsidDel="00000000">
              <w:rPr>
                <w:b w:val="1"/>
                <w:rtl w:val="0"/>
              </w:rPr>
              <w:t xml:space="preserve">uzņēmējdarbības</w:t>
            </w:r>
            <w:r w:rsidR="00000000" w:rsidRPr="00000000" w:rsidDel="00000000">
              <w:rPr>
                <w:rtl w:val="0"/>
              </w:rPr>
              <w:t xml:space="preserve"> ekosistēmu un turpmāk nepieciešamajiem atbalsta stimuliem"".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Smirnova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05.01.2024.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05.01.2024.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Atzinumi_23-TA-2343.docx</dc:title>
</cp:coreProperties>
</file>

<file path=docProps/custom.xml><?xml version="1.0" encoding="utf-8"?>
<Properties xmlns="http://schemas.openxmlformats.org/officeDocument/2006/custom-properties" xmlns:vt="http://schemas.openxmlformats.org/officeDocument/2006/docPropsVTypes"/>
</file>