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vai Transporta attīstības pamatnostādņu 2021.–2027. gadam starpposma izvērtējums iesāk risināt revīzijas ziņojuma 1. sadaļā aprakstīto problēmu, kā rezultātā sniegts komplekss ieteikums.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ziņojumā minēts, ka vienotu un kopumā augstāku kvalitātes prasību (autobusu vecumam un aprīkojumam) iekļaušana nākamā perioda sabiedriskā transporta pakalpojumu līgumos kā attīstības pasākums (par attīstības pasakāmiem sagatavots informatīvais ziņojums “Par reģionālās nozīmes sabiedriskā transporta pakalpojumu attīstību 2021.-2030.gadam”) nav iekļauts Transporta attīstības pamatnostādnēs 2021.–2027. gadam, izvērtējot to kopsakarā ar visiem pārējiem sabiedrībai ne mazāk nozīmīgiem pasažieru pārvadājumu jomas politikas attīstības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uzsāktie attīstības pasākumi ir saskaņoti ar pārējiem pasažieru pārvadājumu jomas politikas attīstības pasākumiem un tie iekļaujas pieņemtās politikas plānošanas dokumentu sistēmā atbilstoši tās darbības principiem, sniegts ieteikums, tajā skaitā izveidot un veikt esošās “politikas” – informatīvā ziņojumā (“Par reģionālās nozīmes sabiedriskā transporta pakalpojumu attīstību 2021.-2030.gadam”) noteikto rezultatīvo rādītāju izmērīšanu (ex-post, midterm).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Starpposma izvērtējumā par politikas rezultātu “Uzlabotas mobilitātes iespējas” minēts, ka uz 2024. gada 1. novembri 13 Latvijas reģionālo autobusu maršruta tīkla daļās autobusu vidējais vecums nepārsniedz piecus gadus, uzlabots komforta līmenis. Tomēr politikas rezultāta vērtējumā (1.1.1.tabulā) nav norādīts, ar kādu rezultatīvo rādītāju šis pasākums saistīts vai arī tam ir nepieciešams iekļaut jaunu rezultatīvo rādītāju, ko varētu iekļaut Transporta attīstības pamatnostādņu projektā nākamajam periodam un ko Satiksmes ministrija plānojusi ieteikuma otrās un trešās daļas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Puriņš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31.01.2025.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31.01.2025.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