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"Reģionālo attīstības centru un novadu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vispārējās izglītības iestāžu izglītojamie pirmsskolas izglītības posmā un izglītojamie no 1. līdz 12. klasei, kā arī to profesionālās izglītības iestāžu un vispārējās izglītības iestāžu, kuras īsteno profesionālās izglītības programmas, izglītojamie no 1. līdz 4. kursam. Mērķa grupā neietilpst profesionālās ievirzes, profesionālās pilnveides un profesionālās tālākizglītības programmu izglītojamie.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šajā punktā atrunāt par privātajām izglītības iestādēm - ietilpst vai neietilpst pasākuma mērķa grupā?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pienākumu sadarbības partneriem nodrošināt projekta ietvaros īstenoto atbalstāmo darbību rezultātu ilgtspēju.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atbalstāmo darbību rezultātu ilgtspējas nosacījumus (vienotus, izmērāmus)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16.01.2024. 23.15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16.01.2024. 23.15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Atzinumi_23-TA-1075.docx</dc:title>
</cp:coreProperties>
</file>

<file path=docProps/custom.xml><?xml version="1.0" encoding="utf-8"?>
<Properties xmlns="http://schemas.openxmlformats.org/officeDocument/2006/custom-properties" xmlns:vt="http://schemas.openxmlformats.org/officeDocument/2006/docPropsVTypes"/>
</file>