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24-TA-902: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jūras transporta dalību Eiropas Savienības emisijas kvotu tirdzniecības sistēmā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40 procentus no verificētajām emisijām, kuras paziņotas par 2024.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likuma "Par piesārņojumu" (turpmāk - Likums) 32.</w:t>
            </w:r>
            <w:r w:rsidR="00000000" w:rsidRPr="00000000" w:rsidDel="00000000">
              <w:rPr>
                <w:vertAlign w:val="superscript"/>
                <w:rtl w:val="0"/>
              </w:rPr>
              <w:t xml:space="preserve">27</w:t>
            </w:r>
            <w:r w:rsidR="00000000" w:rsidRPr="00000000" w:rsidDel="00000000">
              <w:rPr>
                <w:rtl w:val="0"/>
              </w:rPr>
              <w:t xml:space="preserve"> panta ceturto daļu, kas stājās spēkā 2025. gada 18. oktobrī, un tajā paredzētos pienākumus un to izpildes termiņus, kā arī to, ka projekta apstiprināšana Ministru kabinetā paredzama ne agrāk kā 2025. gada nogalē, aicinām anotācijā skaidrot, vai un kā kuģošanas sabiedrības varēs izpildīt projekta 2.1. apakšpunktā paredzēto pienākumu. Vienlaikus ņemot vērā, ka ir nepieciešams pilnībā un korekti pārņemt Eiropas Savienības direktīvas prasības, lūdzam skaidrot, vai ar projekta 2.1. apakšpunktu faktiski netiek paredzēts pienākums ar atpakaļejošu spēku. Vēršam uzmanību, ka Oficiālo publikāciju un tiesiskās informācijas likuma 9. panta ceturtā daļa noteic, ka normatīvajiem aktiem nav atpakaļejoša spēka, izņemot likumā īpaši paredzētus gadījumus. Lūdzam izvērtēt un sniegt skaidrojumu par minēto. Ja nepieciešams, lūdzam precizēt 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Ja tiek nodots kvotu skaits, kas ir mazāks par jūras transporta verificētajām emisijām 2024. un 2025. gadā, tad pēc tam, kad ir noskaidrota starpība starp verificētajām emisijām un nodotajām kvotām katrā no šiem gadiem, minētajai starpībai atbilstošo kvotu apjomu anulē, nevis izsola saskaņā ar Ekonomiskās ilgtspējas 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Likuma 32.</w:t>
            </w:r>
            <w:r w:rsidR="00000000" w:rsidRPr="00000000" w:rsidDel="00000000">
              <w:rPr>
                <w:vertAlign w:val="superscript"/>
                <w:rtl w:val="0"/>
              </w:rPr>
              <w:t xml:space="preserve">22</w:t>
            </w:r>
            <w:r w:rsidR="00000000" w:rsidRPr="00000000" w:rsidDel="00000000">
              <w:rPr>
                <w:rtl w:val="0"/>
              </w:rPr>
              <w:t xml:space="preserve"> panta piektajā daļā paredzēto pilnvarojumu Ministru kabinetam noteikt </w:t>
            </w:r>
            <w:r w:rsidR="00000000" w:rsidRPr="00000000" w:rsidDel="00000000">
              <w:rPr>
                <w:u w:val="single"/>
                <w:rtl w:val="0"/>
              </w:rPr>
              <w:t xml:space="preserve">nododamo emisijas kvotu apjomu un atkāpes no kvotu nodošanas pienākuma</w:t>
            </w:r>
            <w:r w:rsidR="00000000" w:rsidRPr="00000000" w:rsidDel="00000000">
              <w:rPr>
                <w:rtl w:val="0"/>
              </w:rPr>
              <w:t xml:space="preserve"> kuģošanas sabiedrībām saskaņā ar Likuma 32.</w:t>
            </w:r>
            <w:r w:rsidR="00000000" w:rsidRPr="00000000" w:rsidDel="00000000">
              <w:rPr>
                <w:vertAlign w:val="superscript"/>
                <w:rtl w:val="0"/>
              </w:rPr>
              <w:t xml:space="preserve">27</w:t>
            </w:r>
            <w:r w:rsidR="00000000" w:rsidRPr="00000000" w:rsidDel="00000000">
              <w:rPr>
                <w:rtl w:val="0"/>
              </w:rPr>
              <w:t xml:space="preserve"> panta ceturto daļu, lūdzam anotācijā skaidrot projekta 2.4. apakšpunkta, kas paredz materiāltiesisku regulējumu par kvotu apjoma </w:t>
            </w:r>
            <w:r w:rsidR="00000000" w:rsidRPr="00000000" w:rsidDel="00000000">
              <w:rPr>
                <w:u w:val="single"/>
                <w:rtl w:val="0"/>
              </w:rPr>
              <w:t xml:space="preserve">anulēšanu</w:t>
            </w:r>
            <w:r w:rsidR="00000000" w:rsidRPr="00000000" w:rsidDel="00000000">
              <w:rPr>
                <w:rtl w:val="0"/>
              </w:rPr>
              <w:t xml:space="preserve">, atbilstību Likumā ietvertajam pilnvarojumam. Ja atbilstošu skaidrojumu nav iespējams sniegt, lūdzam normu svītrot un to ietvert atbilstošā normatīvajā aktā. Citastarp norādām, ka pirmšķietami kvotu izsolīšanas jautājumus regulē likums (sk., Likuma 32.</w:t>
            </w:r>
            <w:r w:rsidR="00000000" w:rsidRPr="00000000" w:rsidDel="00000000">
              <w:rPr>
                <w:vertAlign w:val="superscript"/>
                <w:rtl w:val="0"/>
              </w:rPr>
              <w:t xml:space="preserve">27 </w:t>
            </w:r>
            <w:r w:rsidR="00000000" w:rsidRPr="00000000" w:rsidDel="00000000">
              <w:rPr>
                <w:rtl w:val="0"/>
              </w:rPr>
              <w:t xml:space="preserve">panta septīto un astoto daļu). Papildus lūdzam skaidrot, vai kvotu apjoms tiek anulēts ar administratīvo aktu. Šajā sakarā vēršam uzmanību uz Administratīvā procesa likuma 11. pantā minēto, ka Ministru kabineta noteikumi var būt par pamatu privātpersonai nelabvēlīgam administratīvajam aktam vai faktiskai rīcībai tikai tad, ja likumā tieši vai netieši ir ietverts pilnvarojums Ministru kabinetam, izdodot noteikumus, tajos paredzēt šādus administratīvos aktus vai faktisko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norādām, ka atbilstoši Ministru kabineta 2009.gada 3.februāra noteikumu Nr.108 "Normatīvo aktu projektu sagatavošanas noteikumi" 136. punktam noteikumu projektā neietver atsau­ces uz zemāka juridiskā spēka normatīvo aktu vai </w:t>
            </w:r>
            <w:r w:rsidR="00000000" w:rsidRPr="00000000" w:rsidDel="00000000">
              <w:rPr>
                <w:u w:val="single"/>
                <w:rtl w:val="0"/>
              </w:rPr>
              <w:t xml:space="preserve">normatīvo aktu, kas vēl nav stājies spēkā</w:t>
            </w:r>
            <w:r w:rsidR="00000000" w:rsidRPr="00000000" w:rsidDel="00000000">
              <w:rPr>
                <w:rtl w:val="0"/>
              </w:rPr>
              <w:t xml:space="preserve">. Atsauce </w:t>
            </w:r>
            <w:r w:rsidR="00000000" w:rsidRPr="00000000" w:rsidDel="00000000">
              <w:rPr>
                <w:u w:val="single"/>
                <w:rtl w:val="0"/>
              </w:rPr>
              <w:t xml:space="preserve">var norādīt uz normatīvo aktu, kas vēl nav stājies spēkā, ja tas stāsies spēkā pirms noteikumu projekta stāšanās spēkā vai vienlaikus ar to</w:t>
            </w:r>
            <w:r w:rsidR="00000000" w:rsidRPr="00000000" w:rsidDel="00000000">
              <w:rPr>
                <w:rtl w:val="0"/>
              </w:rPr>
              <w:t xml:space="preserve">. Likumprojekts "Ekonomiskās ilgtspējas likums" (Nr: 1007/Lp14) atzinuma sniegšanas laikā Saeimā pieņemts tikai 1. lasījumā. Attiecīgi lūdzam izvērtēt šādas atsauces ietveršanas tiesiskumu. Vienlaikus iesakām atsauci uz Ekonomiskās ilgstspējas likumu konkretizēt, norādot konkrētu vienību, kas paredz kvotu izsolīšanu.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Kuģošanas sabiedrības, uz kurām attiecas likuma “Par piesārņojumu” 32.</w:t>
            </w:r>
            <w:r w:rsidR="00000000" w:rsidRPr="00000000" w:rsidDel="00000000">
              <w:rPr>
                <w:vertAlign w:val="superscript"/>
                <w:rtl w:val="0"/>
              </w:rPr>
              <w:t xml:space="preserve">27 </w:t>
            </w:r>
            <w:r w:rsidR="00000000" w:rsidRPr="00000000" w:rsidDel="00000000">
              <w:rPr>
                <w:rtl w:val="0"/>
              </w:rPr>
              <w:t xml:space="preserve">panta pirmā daļa, var nodot par pieciem procentiem mazāk kvotu nekā to verificētās emisijas, kas līdz 2030. gada 31. decembrim radušās no ledus klases kuģiem, ar noteikumu, ka šādiem kuģiem ir IA vai IA Super ledus klase vai līdzvērtīga ledus klase, kas noteikta, pamatojoties uz </w:t>
            </w:r>
            <w:r w:rsidR="00000000" w:rsidRPr="00000000" w:rsidDel="00000000">
              <w:rPr>
                <w:i w:val="1"/>
                <w:rtl w:val="0"/>
              </w:rPr>
              <w:t xml:space="preserve">HELCOM</w:t>
            </w:r>
            <w:r w:rsidR="00000000" w:rsidRPr="00000000" w:rsidDel="00000000">
              <w:rPr>
                <w:rtl w:val="0"/>
              </w:rPr>
              <w:t xml:space="preserve"> ieteikumu 25/7.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projektā nedrīkst atsaukties un uzlikt par pienākumu indivīdam ievērot starptautiskus dokumentus (ieteikumus, vadlīnijas u.tml.), kuri nav privātpersonām saistoši. Izprotam izziņas 4. punktā ietverto skaidrojumu, ka atsauci uz attiecīgo ieteikumu ietver direktīvas prasība, kura tiek pārņemta projekta 3. punktā. Tomēr norādām, ka direktīvā ietvertās prasības dalībvalstij ir jāpārņem savā nacionālajā tiesiskajā regulējumā, vienlaikus ievērojot nacionālās tiesību sistēmas prasības. Attiecīgi lūdzam izvērtēt un svītrot atsauci uz projekta 3. punktā minēto ieteikumu vai arī sniegt pamatotu skaidrojumu par tā juridisko spēku attiecībā uz privātpersonām, kā arī šādas atsauces nepieciešamību un pieļaujamību.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rodas pasažieru kuģu, kas nav kruīza kuģi, un ro-ro pasažieru kuģu reisos starp Eiropas Komisijas 2023. gada 19. decembra Īstenošanas lēmuma (ES) 2023/2895, ar ko nosaka Eiropas Parlamenta un Padomes Direktīvas 2003/87/EK 12. panta 3.-d punktā minēto salu un ostu sarakstu un minētās direktīvas 12. panta 3.-c punktā minēto starptautisku publisko pakalpojumu līgumu vai starptautisku sabiedrisko pakalpojumu saistību sarakstu (turpmāk – lēmums 2023/2895), I pielikumā norādītu salas ostu un tās pašas dalībvalsts jurisdikcijā esošu ostu, kā arī no tādām darbībām ostā, ko šādi kuģi veic saistībā ar šādiem reisiem. Šī apakšpunkta izpratnē kruīza kuģis ir pasažieru kuģis, kam nav kravas klāja un kas paredzēts vienīgi pasažieru komercpārvadājumiem un kas nodrošina naktsmītnes jūras reisā;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saskaņā ar LESD 288. pantu lēmumi uzliek saistības kopumā. Lēmumi, kuros ir norādīti konkrēti adresāti, ir saistoši tikai šiem adresātiem – lēmumā tiek ietverta precīza norāde, kam tieši tas adresēts. Lēmuma adresāts var būt gan viena vai vairākas dalībvalstis, gan privātpersonas, t. i., fiziskas un juridiskas personas. Ja lēmumā nav norādīts konkrēts adresāts, tad šī lēmuma adresāts ir visas dalībvalstis un tie ir saistoši gan Eiropas Savienībai, gan arī dalībvalstīm. Taču, tā kā šādi lēmumi nav adresēti privātpersonām, tie nevar uzlikt viņiem pienākumus. Ja šādos lēmumos ietvertos nosacījumus piemērotu attiecībās ar privātpersonām, tie jāpārņem nacionālajos normatīvajos aktos. Pārņemot lēmumos ietvertos nosacījumus nacionālajos tiesību aktos, piemēro tos pašus nosacījumus kā direktīvu normu pārņemšanā. Attiecīgi lūdzam projekta 4.1. un 4.2. apakšpunktā svītrot atsauces uz Eiropas Savienības lēmumu un, ja nepieciešams, pārņemt tā prasības projektā.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Likuma "Par piesārņojumu" 32.</w:t>
            </w:r>
            <w:r w:rsidR="00000000" w:rsidRPr="00000000" w:rsidDel="00000000">
              <w:rPr>
                <w:vertAlign w:val="superscript"/>
                <w:rtl w:val="0"/>
              </w:rPr>
              <w:t xml:space="preserve">23</w:t>
            </w:r>
            <w:r w:rsidR="00000000" w:rsidRPr="00000000" w:rsidDel="00000000">
              <w:rPr>
                <w:rtl w:val="0"/>
              </w:rPr>
              <w:t xml:space="preserve"> panta otrajā daļā noteiktos dokumentus un informāciju, kuģošanas sabiedrība iesniedz Valsts vides dienestam Komisijas 2023. gada 6. novembra Īstenošanas regulas (ES) 2023/2449 ar ko nosaka noteikumus par to, kā Eiropas Parlamenta un Padomes Regulu (ES) 2015/757 piemērot attiecībā uz monitoringa plānu, emisiju ziņojumu, daļēju emisiju ziņojumu, atbilstības dokumentu un uzņēmuma līmenī sagatavotu ziņojumu veidlapām, un atceļ Komisijas Īstenošanas regulu (ES) 2016/1927 (turpmāk – regula Nr. 2023/2449) noteiktajā kārtībā Eiropas Savienības informācijas sistēmā (</w:t>
            </w:r>
            <w:r w:rsidR="00000000" w:rsidRPr="00000000" w:rsidDel="00000000">
              <w:rPr>
                <w:i w:val="1"/>
                <w:rtl w:val="0"/>
              </w:rPr>
              <w:t xml:space="preserve">Thetis-MRV</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Likuma 32.</w:t>
            </w:r>
            <w:r w:rsidR="00000000" w:rsidRPr="00000000" w:rsidDel="00000000">
              <w:rPr>
                <w:vertAlign w:val="superscript"/>
                <w:rtl w:val="0"/>
              </w:rPr>
              <w:t xml:space="preserve">23</w:t>
            </w:r>
            <w:r w:rsidR="00000000" w:rsidRPr="00000000" w:rsidDel="00000000">
              <w:rPr>
                <w:rtl w:val="0"/>
              </w:rPr>
              <w:t xml:space="preserve"> panta sestajā daļā paredzēto pilnvarojumu Ministru kabinetam noteikt nosacījumus un kārtību, kādā </w:t>
            </w:r>
            <w:r w:rsidR="00000000" w:rsidRPr="00000000" w:rsidDel="00000000">
              <w:rPr>
                <w:u w:val="single"/>
                <w:rtl w:val="0"/>
              </w:rPr>
              <w:t xml:space="preserve">apstiprina</w:t>
            </w:r>
            <w:r w:rsidR="00000000" w:rsidRPr="00000000" w:rsidDel="00000000">
              <w:rPr>
                <w:rtl w:val="0"/>
              </w:rPr>
              <w:t xml:space="preserve"> tos agregētos emisijas datus kuģošanas sabiedrības līmenī, kas iesniegti Valsts vides dienestam saskaņā ar panta otro daļu, lūdzam anotācijā skaidrot projekta 5. punktā ietvertās normas, kas regulē datu </w:t>
            </w:r>
            <w:r w:rsidR="00000000" w:rsidRPr="00000000" w:rsidDel="00000000">
              <w:rPr>
                <w:u w:val="single"/>
                <w:rtl w:val="0"/>
              </w:rPr>
              <w:t xml:space="preserve">iesniegšanu</w:t>
            </w:r>
            <w:r w:rsidR="00000000" w:rsidRPr="00000000" w:rsidDel="00000000">
              <w:rPr>
                <w:rtl w:val="0"/>
              </w:rPr>
              <w:t xml:space="preserve">, atbilstību pilnvarojumam. Vienlaikus aicinām izvērtēt un skaidrot, vai tas, ka attiecīgos datus iesniedz Komisijas 2023. gada 6. novembra Īstenošanas regulas (ES) 2023/2449 ar ko nosaka noteikumus par to, kā Eiropas Parlamenta un Padomes Regulu (ES) 2015/757 piemērot attiecībā uz monitoringa plānu, emisiju ziņojumu, daļēju emisiju ziņojumu, atbilstības dokumentu un uzņēmuma līmenī sagatavotu ziņojumu veidlapām, un atceļ Komisijas Īstenošanas regulu (ES) 2016/1927 noteiktajā kārtībā Eiropas Savienības informācijas sistēmā (Thetis-MRV), faktiski neizriet jau no Eiropas Savienības regulas normām (sk., piemēram, minētās regulas 1. pantu). Ja minētā norma dublē regulās ietvertās prasības, aicinām to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svītrot saīsinājumu, jo tas turpmāk netiek lietots.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Verificētājs, pamatojoties uz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apstiprinātajiem agregētajiem emisijas datiem kuģošanas sabiedrības līmenī, emisijas vienību reģistrā apstiprina ievadīto siltumnīcefekta gāzu emisijas apjomu par iepriekšējo monitoringa gadu un valsts sabiedrība ar ierobežotu atbildību "Latvijas Vides, ģeoloģijas un metroloģijas centrs" uzrauga darbības izpildi atbilstoši likuma "Par piesārņojumu" 32.</w:t>
            </w:r>
            <w:r w:rsidR="00000000" w:rsidRPr="00000000" w:rsidDel="00000000">
              <w:rPr>
                <w:vertAlign w:val="superscript"/>
                <w:rtl w:val="0"/>
              </w:rPr>
              <w:t xml:space="preserve">27</w:t>
            </w:r>
            <w:r w:rsidR="00000000" w:rsidRPr="00000000" w:rsidDel="00000000">
              <w:rPr>
                <w:rtl w:val="0"/>
              </w:rPr>
              <w:t xml:space="preserve"> panta ceturtajā daļā noteiktajam termiņam.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32.</w:t>
            </w:r>
            <w:r w:rsidR="00000000" w:rsidRPr="00000000" w:rsidDel="00000000">
              <w:rPr>
                <w:vertAlign w:val="superscript"/>
                <w:rtl w:val="0"/>
              </w:rPr>
              <w:t xml:space="preserve">23</w:t>
            </w:r>
            <w:r w:rsidR="00000000" w:rsidRPr="00000000" w:rsidDel="00000000">
              <w:rPr>
                <w:rtl w:val="0"/>
              </w:rPr>
              <w:t xml:space="preserve"> panta sestajā daļā paredzēts pilnvarojums Ministru kabinetam noteikt nosacījumus un kārtību, kādā </w:t>
            </w:r>
            <w:r w:rsidR="00000000" w:rsidRPr="00000000" w:rsidDel="00000000">
              <w:rPr>
                <w:u w:val="single"/>
                <w:rtl w:val="0"/>
              </w:rPr>
              <w:t xml:space="preserve">apstiprina</w:t>
            </w:r>
            <w:r w:rsidR="00000000" w:rsidRPr="00000000" w:rsidDel="00000000">
              <w:rPr>
                <w:rtl w:val="0"/>
              </w:rPr>
              <w:t xml:space="preserve"> tos agregētos emisijas datus kuģošanas sabiedrības līmenī, kas iesniegti Valsts vides dienestam saskaņā ar panta otro daļu. Attiecīgi lūdzam anotācijā skaidrot, kā Likumā paredzētajam pilnvarojumam atbilst projekta 6. punktā ietvertā norma, kas paredz, ka valsts sabiedrība ar ierobežotu atbildību "Latvijas Vides, ģeoloģijas un metroloģijas centrs" uzrauga darbības izpildi atbilstoši Likuma 32.</w:t>
            </w:r>
            <w:r w:rsidR="00000000" w:rsidRPr="00000000" w:rsidDel="00000000">
              <w:rPr>
                <w:vertAlign w:val="superscript"/>
                <w:rtl w:val="0"/>
              </w:rPr>
              <w:t xml:space="preserve">27</w:t>
            </w:r>
            <w:r w:rsidR="00000000" w:rsidRPr="00000000" w:rsidDel="00000000">
              <w:rPr>
                <w:rtl w:val="0"/>
              </w:rPr>
              <w:t xml:space="preserve"> panta ceturtajā daļā noteiktajam termiņam. Vienlaikus aicinām izvērtēt, vai šāda norma drīzāk neizpilda citu Likumā paredzēto pilnvarojumu (sk., piemēram, 32.</w:t>
            </w:r>
            <w:r w:rsidR="00000000" w:rsidRPr="00000000" w:rsidDel="00000000">
              <w:rPr>
                <w:vertAlign w:val="superscript"/>
                <w:rtl w:val="0"/>
              </w:rPr>
              <w:t xml:space="preserve">29</w:t>
            </w:r>
            <w:r w:rsidR="00000000" w:rsidRPr="00000000" w:rsidDel="00000000">
              <w:rPr>
                <w:rtl w:val="0"/>
              </w:rPr>
              <w:t xml:space="preserve"> panta trešās daļas 2. punktu). Attiecīgi lūdzam izvērtēt un sniegt skaidrojumu vai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paredz nosacījumus un kārtību, kādā apstiprina tos agregētos emisijas datus kuģošanas sabiedrības līmenī, kas iesniegti Valsts vides dienestam saskaņā ar likuma "Par piesārņojumu" 32.</w:t>
            </w:r>
            <w:r w:rsidR="00000000" w:rsidRPr="00000000" w:rsidDel="00000000">
              <w:rPr>
                <w:vertAlign w:val="superscript"/>
                <w:rtl w:val="0"/>
              </w:rPr>
              <w:t xml:space="preserve">23</w:t>
            </w:r>
            <w:r w:rsidR="00000000" w:rsidRPr="00000000" w:rsidDel="00000000">
              <w:rPr>
                <w:rtl w:val="0"/>
              </w:rPr>
              <w:t xml:space="preserve"> panta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vārdu "paredz" kā lieku. Alternatīvi aicinām pārcelt vārdu "nosaka" no 1. punkta ievaddaļas uz 1.1.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likuma "Par piesārņojumu" 32.</w:t>
            </w:r>
            <w:r w:rsidR="00000000" w:rsidRPr="00000000" w:rsidDel="00000000">
              <w:rPr>
                <w:vertAlign w:val="superscript"/>
                <w:rtl w:val="0"/>
              </w:rPr>
              <w:t xml:space="preserve">27</w:t>
            </w:r>
            <w:r w:rsidR="00000000" w:rsidRPr="00000000" w:rsidDel="00000000">
              <w:rPr>
                <w:rtl w:val="0"/>
              </w:rPr>
              <w:t xml:space="preserve"> panta ceturtajā daļā, šo noteikumu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noteiktajam, kuģošanas sabiedrību pienākums ir emisijas vienību reģistrā nodot kvotas pēc šāda grafika: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atbilstoši juridiskās tehnikas prasībām vārdus "kuģošanas sabiedrību pienākums ir emisijas vienību reģistrā nodot kvotas" aizvietot ar vārdiem "kuģošanas sabiedrība emisiju vienību reģistrā nodod kvotas". Papildus aicinām izvērtēt atsauču uz citiem normatīvajiem aktiem, kā arī iekšējo atsauču ietveršanas nepieciešamību projektā, un tās ietvert, ja tās ir objektīvi nepieciešamas normas korektai un pilnīgai piemērošanai un interpretācijai. Norādām, ka atsauču ietveršana var sarežģīt regulējuma uztveramību.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izvērtēt, vai un kā projekta 2. punktā pietiekami skaidri un precīzi pārņemts Eiropas Parlamenta un Padomes 2023. gada 10. maija direktīvas (ES) Nr. 2023/959, ar ko groza Direktīvu 2003/87/EK, lai sekmētu emisiju izmaksefektīvu samazināšanu un investīcijas mazoglekļa risinājumos, un Lēmumu (ES) 2015/1814 (turpmāk - Direktīva 2023/959) 1. panta 7. punktā ietvertā Direktīvas 2003/87/EK 3.gb panta pirmās daļas "a", "b" un "c" apakšpunktā ietvertā piebilde ("uz kurām attiektos nodošanas prasības saskaņā ar 12. pantu" vai "saskaņā ar 12. pantu"). Ja nepieciešams, aicinām precizēt projektu. Alternatīvi aicinām sniegt skaidrojumu, kā pilnībā pārņemta attiecīgā direktīvas prasība.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Ja tiek nodots kvotu skaits, kas ir mazāks par jūras transporta verificētajām emisijām 2024. un 2025. gadā, tad pēc tam, kad ir noskaidrota starpība starp verificētajām emisijām un nodotajām kvotām katrā no šiem gadiem, minētajai starpībai atbilstošo kvotu apjomu anulē, nevis izsola saskaņā ar Ekonomiskās ilgtspējas 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2.4. apakšpunktu izteikt kā atsevišķu projekta punktu atbilstoši juridiskās tehnikas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radušās gan reisos starp ostām, kas atrodas noteiktās dalībvalsts vienā konkrētā tālākajā reģionā, un ostu, kas atrodas tajā pašā dalībvalstī, tostarp  reisi starp ostām, kas atrodas konkrētās dalībvalsts vienā tālākajā reģionā un reisus starp ostām konkrētās dalībvalsts tālākajos reģionos, gan arī no tādām minēto kuģu darbībām ostā, ko šādi kuģi veic saistībā ar šādiem reisiem.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apakšpunkta izpratnē tālākais reģions ir piestāšanas ostā, kā noteikts likuma "Par piesārņojumu" 1. panta pirmās daļas 34. punktā, kuras atrodas šādu valstu jurisdikcijā: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vārdu "ostām" pēc vārdiem "radušās gan reisos starp" tiesiskās skaidrības labad nevajag aizstāt ar vārdu "ostu" (proti, reisos starp ostu un ostu). Papildus aicinām svītrot vārdu "noteiktās" kā lieku, tā vietā konkretizējot, </w:t>
            </w:r>
            <w:r w:rsidR="00000000" w:rsidRPr="00000000" w:rsidDel="00000000">
              <w:rPr>
                <w:u w:val="single"/>
                <w:rtl w:val="0"/>
              </w:rPr>
              <w:t xml:space="preserve">kā</w:t>
            </w:r>
            <w:r w:rsidR="00000000" w:rsidRPr="00000000" w:rsidDel="00000000">
              <w:rPr>
                <w:rtl w:val="0"/>
              </w:rPr>
              <w:t xml:space="preserve"> dalībvalsts (piemēram, Eiropas Savienības dalībvalsts). Tāpat arī aicinām izvērtēt, vai vārdi "vienā konkrētā" nav lieki. Alternatīvi aicinām skaidrot piebildes nozīmi, ņemot vērā Direktīvas 2023/959 1. panta 21. punkta "d" apakšpunktā ietvertā 12. panta 3.-b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Noteikumi stājas spēkā 2025. gada 31. decembrī.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"Noteikumu projekta [spēkā stāšanās] termiņš noteikts, lai iespējami ātrāk transponētu Direktīvas 2023/959 prasības attiecībā uz jūras transportu." Vienlaikus norādām, ka projekts var tikt apstiprināts Ministru kabinetā arī krietni ātrāk, attiecīgi aicinām izvērtēt, vai nevajag no projekta svītrot noteikumu spēkā stāšanās punktu, attiecīgi anotācijā norādot, ka projekts stājas spēkā vispārējā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w:t>
            </w:r>
            <w:r w:rsidR="00000000" w:rsidRPr="00000000" w:rsidDel="00000000">
              <w:rPr>
                <w:i w:val="1"/>
                <w:rtl w:val="0"/>
              </w:rPr>
              <w:t xml:space="preserve">Ar noteikumu projekta 6. punktu nosaka, ka verificētājs, kurš atbilst likuma "Par piesārņojumu" 1. panta otrajā daļā noteiktajam, ir atbildīgs par vienību reģistrā ievadīto siltumnīcefekta gāzu emisijas apjoma apstiprināšanu, ko var noteikt saskaņā ar Komisijas 2019. gada 12. marta deleģētās regulas (ES) 2019/1122, ar ko attiecībā uz Savienības reģistra darbību papildina Eiropas Parlamenta un Padomes Direktīvu 2003/87/EK Nr. 2019/1122 (turpmāk – regula Nr. 2019/1122)  31. panta 4. punkta otro daļu</w:t>
            </w:r>
            <w:r w:rsidR="00000000" w:rsidRPr="00000000" w:rsidDel="00000000">
              <w:rPr>
                <w:rtl w:val="0"/>
              </w:rPr>
              <w:t xml:space="preserve">." Lūdzam papildināt anotācijas 5.1. apakšsadaļu un 5.4. apakšsadaļas 1. tabulu, ja projekta 6. punktā ieviesta minētās regulas vienība. Vienlaikus, ņemot vērā, ka regulas ir tieši piemērojamas un ņemot vērā minētajā regulas vienībā paredzēto, lūdzam skaidrot, vai projekta 6. punkts nesašaurina regulas normas piemērošanu. Ja nepieciešams,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w:t>
            </w:r>
            <w:r w:rsidR="00000000" w:rsidRPr="00000000" w:rsidDel="00000000">
              <w:rPr>
                <w:i w:val="1"/>
                <w:rtl w:val="0"/>
              </w:rPr>
              <w:t xml:space="preserve">Ar noteikumu projekta 6. punktu nosaka, ka verificētājs, kurš atbilst likuma "Par piesārņojumu" 1. panta otrajā daļā noteiktajam, ir atbildīgs par vienību reģistrā ievadīto siltumnīcefekta gāzu emisijas apjoma apstiprināšanu [..].</w:t>
            </w:r>
            <w:r w:rsidR="00000000" w:rsidRPr="00000000" w:rsidDel="00000000">
              <w:rPr>
                <w:rtl w:val="0"/>
              </w:rPr>
              <w:t xml:space="preserve">" Aicinām precizēt, jo norādīta nepareiza Likuma vienība.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par projekta 4.3. apakšpunktu ietverts skaidrojums: "</w:t>
            </w:r>
            <w:r w:rsidR="00000000" w:rsidRPr="00000000" w:rsidDel="00000000">
              <w:rPr>
                <w:i w:val="1"/>
                <w:rtl w:val="0"/>
              </w:rPr>
              <w:t xml:space="preserve">Termins “tālākais reģions” noteikumu projektā attiecīgi tiek skaidrots, kā “piestāšanas ostā”, kā noteikts likuma "Par piesārņojumu" 1. panta pirmās daļas 34. punktā, nosakot tās valstis un reģionus, kas definēti </w:t>
            </w:r>
            <w:r w:rsidR="00000000" w:rsidRPr="00000000" w:rsidDel="00000000">
              <w:rPr>
                <w:i w:val="1"/>
                <w:u w:val="single"/>
                <w:rtl w:val="0"/>
              </w:rPr>
              <w:t xml:space="preserve">Līguma par Eiropas Savienību un Līguma par Eiropas Savienības darbību 349. un 355. pantā.</w:t>
            </w:r>
            <w:r w:rsidR="00000000" w:rsidRPr="00000000" w:rsidDel="00000000">
              <w:rPr>
                <w:rtl w:val="0"/>
              </w:rPr>
              <w:t xml:space="preserve">" Aicinām precizēt, proti, Līguma par Eiropas Savienību 349. pantā un Līguma par Eiropas Savienības darbību 355.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izziņas 13. punktā ietvertos skaidrojumus par Direktīvas 2023/959 prasību pārņemšanu un to, ka anotācijas 5.4. apakšsadaļas pēc iespējas detalizēti ir jāatspoguļo Direktīvas 2023/959 prasību pārņemšana, aicinām izziņā ietvertos skaidrojumus ietvert arī anotācijas 5.4. apakšsadaļas 1. tabulā piemērotā vietā. Papildus aicinām norādīt, kur pārņemtas pārējās Direktīvas 2023/959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24-TA-902</w:t>
    </w:r>
    <w:r>
      <w:br/>
    </w:r>
    <w:r w:rsidR="00000000" w:rsidRPr="00000000" w:rsidDel="00000000">
      <w:rPr>
        <w:rtl w:val="0"/>
      </w:rPr>
      <w:t xml:space="preserve">Izdrukāts 13.11.2025. 17.14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24-TA-902</w:t>
    </w:r>
    <w:r>
      <w:br/>
    </w:r>
    <w:r w:rsidR="00000000" w:rsidRPr="00000000" w:rsidDel="00000000">
      <w:rPr>
        <w:rtl w:val="0"/>
      </w:rPr>
      <w:t xml:space="preserve">Izdrukāts 13.11.2025. 17.14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Atzinumi_24-TA-902.docx</dc:title>
</cp:coreProperties>
</file>

<file path=docProps/custom.xml><?xml version="1.0" encoding="utf-8"?>
<Properties xmlns="http://schemas.openxmlformats.org/officeDocument/2006/custom-properties" xmlns:vt="http://schemas.openxmlformats.org/officeDocument/2006/docPropsVTypes"/>
</file>