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"(11) Darbību veicējs, kas amonija nitrāta mēslošanas līdzekļus, kuros slāpekļa saturs pārsniedz 28 procentus, deklarē</w:t>
            </w:r>
            <w:r w:rsidR="00000000" w:rsidRPr="00000000" w:rsidDel="00000000">
              <w:rPr>
                <w:b w:val="1"/>
                <w:rtl w:val="0"/>
              </w:rPr>
              <w:t xml:space="preserve"> </w:t>
            </w:r>
            <w:r w:rsidR="00000000" w:rsidRPr="00000000" w:rsidDel="00000000">
              <w:rPr>
                <w:rtl w:val="0"/>
              </w:rPr>
              <w:t xml:space="preserve">muitas procedūrai — laišana brīvā apgrozībā —, muitas deklarācijai pievieno detonācijnoturības testu (vai tā kopiju), kas nav vecāks par trim mēnešiem no testa veikšanas brīža, un dienesta apliecinājumu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1.punktā ir norādīts, ka ņemts vērā FM iebildums. No precizētā likumprojekta redakcijas konstatējams, ka tekstā vārds “piesaka” ir aizstāts ar vārdu “deklarē”.  Saskaņā ar Regulas Nr. 952/2013 18.pantu ikviena persona var iecelt sev pārstāvi muitā. Šāda pārstāvība var būt tieša- tad pārstāvis muitā darbojas citas personas vārdā un tās uzdevumā – vai netieša – tad pārstāvis muitā rīkojas savā vārdā, bet citas personas uzdevumā.  Muitas deklarāciju var iesniegt netiešajā pārstāvībā pilnvarota persona un šajā gadījumā deklarētājs ir pārstāvis (pilnvarotā persona). Pilnvarotā persona tiek pilnvarota pārstāvēt personu attiecībās ar muitas iestādi un nav darbību veicējs Mēslošanas līdzekļu aprites likuma izpratnē, jo neveic nevienu no Mēslošanas līdzekļu aprites likumā minētajām darbībām, proti, nedz ražo, nedz ieved, nedz iepako, nedz tirgo mēslošanas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6. panta 1. punkts noteic, ka visu informācijas apmaiņu starp muitas dienestiem un starp uzņēmējiem un muitas dienestiem, piemēram, attiecībā uz deklarācijām, iesniegumiem vai lēmumiem, kā arī šādas informācijas glabāšanu, kā paredzēts tiesību aktos muitas jomā, veic, izmantojot elektroniskas datu apstrādes metodes. No minētā izriet, ka jebkurš dokuments iesniedzams elektroniskā formā to pievienojot deklarācijai un to var veikt tikai persona, kas iesniedz deklarāciju. Darbību veicējs, ja viņš pats neiesniedz muitas deklarāciju, nevar pievienot muitas deklarācijai dokumentus, tai skaitā detonācijnoturības testu (vai tā kopiju) un apliecinājumu par detonācijnoturības testa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pantā minētais pienākums attiektos arī uz pilnvaroto personu, atkārtoti lūdzam likuma 5.panta vienpadsmitās daļas regulējumu izteikt kā likuma 5.1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Aleksandrova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Pienākumi personai, kas ved tranzītā amonija nitrāta mēslošanas līdzekļus, kuros slāpekļa saturs pārsniedz 28 procentus</w:t>
            </w:r>
            <w:r w:rsidR="00000000" w:rsidRPr="00000000" w:rsidDel="00000000">
              <w:rPr>
                <w:rtl w:val="0"/>
              </w:rPr>
              <w:t xml:space="preserve">
</w:t>
            </w:r>
            <w:r w:rsidR="00000000" w:rsidRPr="00000000" w:rsidDel="00000000">
              <w:rPr>
                <w:rtl w:val="0"/>
              </w:rPr>
              <w:t xml:space="preserve">Persona, kas amonija nitrāta mēslošanas līdzekļus, kuros slāpekļa saturs pārsniedz 28 procentus, deklarē muitas procedūru — tranzīts —, muitas deklarācijai pievieno detonācijnoturības testu (vai tā kopiju), kas nav vecāks par trim mēnešiem no testa veikšanas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izteikt likumprojekta 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likumu ar 5.1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 pants. Pienākumi personai, kas amonija nitrāta mēslošanas līdzekļus deklarē muitas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kas amonija nitrāta mēslošanas līdzekļus, kuros slāpekļa saturs pārsniedz 28 procentus, deklarē muitas procedūrai — laišana brīvā apgrozībā —, muitas deklarācijai pievieno detonācijnoturības testu (vai tā kopiju), kas nav vecāks par trim mēnešiem no testa veikšanas brīža, un dienesta apliecinājumu par detonācijnoturības testa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kas amonija nitrāta mēslošanas līdzekļus, kuros slāpekļa saturs pārsniedz 28 procentus, deklarē muitas procedūrai — tranzīts —, muitas deklarācijai pievieno detonācijnoturības testu (vai tā kopiju), kas nav vecāks par trim mēnešiem no testa veikšanas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Aleksandrova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23-TA-2314</w:t>
    </w:r>
    <w:r>
      <w:br/>
    </w:r>
    <w:r w:rsidR="00000000" w:rsidRPr="00000000" w:rsidDel="00000000">
      <w:rPr>
        <w:rtl w:val="0"/>
      </w:rPr>
      <w:t xml:space="preserve">Izdrukāts 14.05.2024.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23-TA-2314</w:t>
    </w:r>
    <w:r>
      <w:br/>
    </w:r>
    <w:r w:rsidR="00000000" w:rsidRPr="00000000" w:rsidDel="00000000">
      <w:rPr>
        <w:rtl w:val="0"/>
      </w:rPr>
      <w:t xml:space="preserve">Izdrukāts 14.05.2024.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Atzinumi_23-TA-2314.docx</dc:title>
</cp:coreProperties>
</file>

<file path=docProps/custom.xml><?xml version="1.0" encoding="utf-8"?>
<Properties xmlns="http://schemas.openxmlformats.org/officeDocument/2006/custom-properties" xmlns:vt="http://schemas.openxmlformats.org/officeDocument/2006/docPropsVTypes"/>
</file>