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noteikumu projekta normas ir pārņemtas atbilstoši attiecīgo Eiropas Savienības tiesību aktu normām. Turklāt svarīgi pie noteikumu projekta norādīt, kāpēc papildu Eiropas Savienības normām noteikumu projektā ir ietvertas normas no nacionālajiem tiesību aktiem. Lai noteikumu projekts nebūtu pretrunā Eiropas Savienības prasībām, skaidri jānorāda juridiskais pamats, kas ļauj dalībvalstīm pieņemt papildu normas. Ņemot vērā minēto, Tieslietu ministrija varēs sniegt precīzu izvērtējumu par noteikumu projekta atbilstību Eiropas Savienības tiesību aktiem pēc anotācijas precizēšanas.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personas datu apstrādi veic saskaņā ar Eiropas Parlamenta un Padomes 2016. gada 27. aprīļa regulu (ES) 2016/679 par fizisko personu aizsardzību attiecībā uz personas datu apstrādi un šādu datu brīvu apriti (Vispārīgā datu aizsardzības regula) un ar ko atcelta Direktīva 95/46/EK;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atsauci uz attiecīgo regulu, lūdzam veikt attiecīgus labojumus saskaņā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personas datu apstrādi veic saskaņā ar Eiropas Parlamenta un Padomes 2016. gada 27. aprīļa Regulu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12.04.2023.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12.04.2023.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