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grozāmā norma ir ietverta tikai Likuma 2. panta trešajā daļā (jo likumprojekts paredz izslēgt 39. pantu), izteikt likumprojekta 1. pantu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aiz vārda “terorisma” ar vārdiem “un proliferācijas”.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pantā ietvertās Azartspēļu un izložu likuma 24. panta grozāmās normas redakciju (vienotā azartspēļu automātu kontroles un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grozāmās normas vārdu salikums tiek lietots arī citviet likumā, līdz ar ko veicami grozījumi arī Azartspēļu un izložu likuma 82. panta otrās daļas 6. punktā un 86.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aiz vārda "legalizāciju" ar vārdiem "un terorisma un proliferācijas finansēšanas"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 panta redakciju un Azartspēļu un izložu likuma 41. panta pirmās daļas sestā punkta grozāmās normas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 panta redakciju un Azartspēļu un izložu likuma 53. panta otrās daļas ceturtā punkta grozāmās normas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"otrās" ar vārdu "otrajā".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22.06.2023.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22.06.2023.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