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pie risinājuma apraksta apakšsadaļā "Komersantu vērtēšanas komisijas inkubācijas atbalstam paplašināšana" ir sniegta šāda informācija: "Plānots, ka šo 2 milj. EUR ietvaros ar grantiem tiks atbalstīti vismaz 15 komersanti". Aicinām izvērtēt minētās informācijas pārcelšanu uz anotācijas 1.3.sadaļas apakšsadaļu "Sasniedzamie rādītāju palielināšana".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"Tehniskie precizējumi" 4.punktā minēts, ka precizēta atsauce MK noteikumu Nr. 407 38.punktā, jo vienkāršoto izmaksu metodika ir sagatavota par 37.2. apakšpunktā minēto atbalstu. Izskatot noteikumu grozījumu 38.punktu tajā nav veiktas izmaiņas. Lūdzam pārskatīt MK noteikumu grozījumu 38.punkta redakcijas  atbilstību anotācijas 4.punktam.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Krilova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norādīto kopējo pārdalāmo finansējumu 13 869 475 euro apmērā sadalīt pa avotiem, kā arī norādīt elastības finansējuma apmēru. Vienlaikus lūdzam precizēt pirmajā teikumā norādīto ik gadu nepieciešamā finansējuma apmēru, ņemot vēra, ka atbilstoši 2.punktam tas ir 2 667 659 euro nevis 2 282 978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Ekonomikas ministrijai veikt 1.2.3.1. pasākuma īstenošanai nepieciešamo finansējuma 13 869 475 euro apmērā pārdali no 1.2.1.1. pasākuma "Atbalsts jaunu produktu attīstībai un internacionalizācijai", 1.1.2.2. pasākuma “Uzņēmumu digitālo prasmju attīstība” pirms pozitīva Eiropas Komisijas lēmuma par Eiropas Savienības kohēzijas politikas programmas 2021.–2027.gadam grozījumiem saņemšanas un 1.2.1.4. pasākuma "Atbalsts tehnoloģiju pārneses sistēmas pilnveidošanai".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protokollēmuma 3.punktu, sakārtojot teikuma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1.3.sadaļā norādīto pārdalāmā finansējuma summu (11 869 475 </w:t>
            </w:r>
            <w:r w:rsidR="00000000" w:rsidRPr="00000000" w:rsidDel="00000000">
              <w:rPr>
                <w:i w:val="1"/>
                <w:rtl w:val="0"/>
              </w:rPr>
              <w:t xml:space="preserve">euro</w:t>
            </w:r>
            <w:r w:rsidR="00000000" w:rsidRPr="00000000" w:rsidDel="00000000">
              <w:rPr>
                <w:rtl w:val="0"/>
              </w:rPr>
              <w:t xml:space="preserve">) palielinot to par 2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Ekonomikas ministrijai veikt 1.2.3.1. pasākuma īstenošanai nepieciešamo finansējuma 13 869 475 </w:t>
            </w:r>
            <w:r w:rsidR="00000000" w:rsidRPr="00000000" w:rsidDel="00000000">
              <w:rPr>
                <w:i w:val="1"/>
                <w:rtl w:val="0"/>
              </w:rPr>
              <w:t xml:space="preserve">euro </w:t>
            </w:r>
            <w:r w:rsidR="00000000" w:rsidRPr="00000000" w:rsidDel="00000000">
              <w:rPr>
                <w:rtl w:val="0"/>
              </w:rPr>
              <w:t xml:space="preserve">apmērā pārdali no 1.2.1.1. pasākuma "Atbalsts jaunu produktu attīstībai un internacionalizācijai", 1.1.2.2. pasākuma “Uzņēmumu digitālo prasmju attīstība” un 1.2.1.4. pasākuma "Atbalsts tehnoloģiju pārneses sistēmas pilnveidošanai" pirms pozitīva Eiropas Komisijas lēmuma par Eiropas Savienības kohēzijas politikas programmas 2021.–2027.gadam grozījumiem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ar grantiem atbalstītie uzņēmumi – 348 uzņēmumi;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1.2.3.SAM pasē ir norādīts, ka 1.2.3.1.pasākuma ietvaros plānots atbalstīt 456 komersantus ārvalstu tirgus apgūšanai un 240 komersantus biznesa inkubācijā. Ņemot vērā, ka ārvalstu tirgus apgūšanai plānots atbalstīt 456 komersantus, nav skaidrs, kāpēc šo noteikumu ietvaros ir noteikts mazāks atbalstāmo komersantu skaits (348). Lūdzam skaidrot anotācijas 1.3.sadaļā kā tiek noteikts šī rādītāja ietvaros noteiktais atbalstīto komersantu skaita unikālā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pasākuma ietvaros jānosaka to unikālo komersantu skaits, kas tiks atbalstīts pasākuma līmenī, nevis SAM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precizēt 1.2.3.SAM rādītāju pasi, sniedzot papildus skaidrojumus par rādītāju vērtību noteikšanas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nefinansiālu atbalstu saņēmušie uzņēmumi – 576 uzņēmumi;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priekšlikumu, lūdzam skaidrot kā veidojas arī šī rādītāja vērtība, ņemot vērā, ka tikai biznesa inkubācijā plānots atbalstīt 591 uzņēmumu.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atbalstītie jaunie uzņēmumi – 199 uzņēmumi;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rādītāja vērtību atbilstoši finansējuma palielinājumam - vismaz par 16%, vai sniegt skaidrojumu anotācijā kāpēc šī rādītāja vērtība ir palielināta tikai par 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līdz 2029. gada 31. decembrim sasniedzami šādi rezultāta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rezultāta rādītāju vērtības atbilstoši finansējuma palielinājumam - vismaz par 16%, vai sniegt skaidrojumu anotācijā kāpēc rādītāja "jaunradīto darba vietu skaits atbalstītajos uzņēmumos" vērtība netiek palielināta, bet rādītāja "jauni uzņēmumi, kas joprojām darbojas tirgū" vērtība tiek palielināta tikai par 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Komersantu vērtēšanas komisijā šo noteikumu </w:t>
            </w:r>
            <w:r w:rsidR="00000000" w:rsidRPr="00000000" w:rsidDel="00000000">
              <w:rPr>
                <w:rtl w:val="0"/>
              </w:rPr>
              <w:t xml:space="preserve">37.2.</w:t>
            </w:r>
            <w:r w:rsidR="00000000" w:rsidRPr="00000000" w:rsidDel="00000000">
              <w:rPr>
                <w:rtl w:val="0"/>
              </w:rPr>
              <w:t xml:space="preserve"> apakšpunktā minētās aktivitātes ietvaros piedalās vismaz viens pārstāvis no finansējuma saņēmēja, pārstāvniecībām atbilstošajām pašvaldībām, pašvaldību organizācijas, ja attiecināms, augstskolas, atbildīgās iestādes, Kultūras ministrijas, ja vērtēšana notiek gala labuma guvēju pieteikumiem radošo industriju jomā, Aizsardzības ministrijas, ja vērtēšana notiek gala labuma guvēju pieteikumiem duālas nozīmes produktu, pakalpojumu un tehnoloģiju izstrādei drošības un aizsardzības jomā, komersantu organizācijām, kas pārstāv pārstāvniecību teritoriju vai reģionu, vai finanšu institūcijas vai uzņēmuma. Pārstāvim ir viena balss no katras organizācijas. Papildus iesaistītajiem nozaru ekspertiem un pārējiem dalībniekiem ir novērotāju tiesības. Vērtēšanas komisijas atzinumam ir konsultatīvs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kas ir duālas nozīmes produktu, pakalpojumu un tehnoloģiju izstrāde drošības un aizsardzības jomā, vienlaicīgi sniedzot šādu produktu piemērus.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termins "produkts" mārketinga teorijā aptver gan preces, gan pakalpojumus, tāpēc lietojot terminu "produkts", nav atsevišķi jāizdala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anotācijas 1.3.sadaļā sniegt skaidrojumu, ka saskaņā ar Eiropas Komisijas vadlīnijām "EU finding for Dual use" duālās nozīmes produkti var tikt atbalstīti no ES struktūrfondiem, bet attiecībā uz infrastruktūru, kas var kalpot gan civiliem, gan militāriem nolūkiem, tikai civilā daļa ir tiesīga saņemt atbalstu no ES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anotācijas 1.3.sadaļā skaidri noteikt, ka atbalstu sniedz tikai līdz brīdim kamēr produktam ir duālā nozīme, proti, sākot ar brīdi, kad produkts pārtop par militārās nozīmes produktu, ES fondu atbalsts tam vairs nav sniedzams.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69.5.7. fundamentālie pētījumi (pētniecības un attīstības izdevumu apjoms,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šo noteikumu projekta apakšpunktu, ņemot vērā to, ka pasākuma ietvaros biznesa inkubatoru atbalsta sadaļā nav paredzēts atbalsts fundamentālo pētījumu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22.07.2024.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22.07.2024.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Atzinumi_24-TA-1191.docx</dc:title>
</cp:coreProperties>
</file>

<file path=docProps/custom.xml><?xml version="1.0" encoding="utf-8"?>
<Properties xmlns="http://schemas.openxmlformats.org/officeDocument/2006/custom-properties" xmlns:vt="http://schemas.openxmlformats.org/officeDocument/2006/docPropsVTypes"/>
</file>