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"Teritorijas attīstības plānošanas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plašāku skaidrojumu attiecībā uz anotācijas 3.sadaļas punktā “Cita informācija” norādīto par fiskāli neitrālo ietekmi, norādot, ar kuru likumprojektā paredzēto grozījumu tā ir saistīta, kā arī pamatot norādīto informāciju, kā tiek ievērota fiskālā neitralitāte un vai tā attiecas uz valsts vai pašvaldību budžetu. Vienlaikus vēršam uzmanību, ja likumprojekta normās ietvertais regulējums nerada ietekmi uz valsts un pašvaldību budžetu (ieņēmumiem/izdevumiem), tad anotācijas 3.sadaļu neaizpilda, nepieciešamības gadījumā punktā “Cita informācija” sniedzot papildu skaidrojošu informāciju, ka likumprojekta normas iesaistītās institūcijas/iestādes īstenos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03.10.2025. 08.26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03.10.2025. 08.26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Atzinumi_25-TA-1667.docx</dc:title>
</cp:coreProperties>
</file>

<file path=docProps/custom.xml><?xml version="1.0" encoding="utf-8"?>
<Properties xmlns="http://schemas.openxmlformats.org/officeDocument/2006/custom-properties" xmlns:vt="http://schemas.openxmlformats.org/officeDocument/2006/docPropsVTypes"/>
</file>