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specifiskā atbalsta mērķa Nr. 4.3.4. "Sekmēt aktīvu iekļaušanu, lai veicinātu vienlīdzīgas iespējas, nediskriminēšanu un aktīvu līdzdalību, kā arī uzlabotu nodarbinātību, jo īpaši attiecībā uz nelabvēlīgā situācijā esošām grupām" 4.3.4.7. pasākuma "Nodarbināmības priekšnosacījumu nodrošināšana ieslodzītajiem, pilnveidojot resocializācijas sistēmas efektivitāti, sekmējot bijušo ieslodzīto iekļaušanos, vienlīdzīgas iespējas un aktīvu līdzdalību"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19. panta 6. un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13. jūlija sēdes protokollēmumā (prot. Nr. 36 85. § 3. punkts)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projektu ar normu, kas paredz, ka finansējuma saņēmējs veic izmaksu un ieguvumu analīzi. Atbilstoši lūdzam papildināt arī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projekta informatīvie un obligātās publicitātes pasākumi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Eiropas Savienības fondus regulējošos horizontālos normatīvos aktos un praksē lietoto jēdzienu "komunikācijas un vizuālās identitātes prasību nodrošināšana", aicinām izvērtēt un pēc nepieciešamības precizēt noteikumu projekta 14.10.apakšpunktu, 16.2.7.punktu un 22.1.apakšpunktu. Attiecīgu precizējumu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personāla atlīdzības izmaksas, kas ir projekta īstenošanas un vadības personāla atlīdzības izmaksas, tostarp veselības apdrošināšanas un redzes korekcijas līdzekļu kompensācijas izmaksas, šo noteikumu 14. punktā noteikto darbību īstenošanai. Izmaksas ir attiecināmas atbilstoši atbildīgās iestādes apstiprinātajai vienas vienības izmaksu metodikai,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vārdus: "tostarp veselības apdrošināšanas un redzes korekcijas līdzekļu kompensācijas izmaksas", tā kā izmaksu tvērums ir noteikts VI vadlīnijās Nr. 1.2. "Vadlīnijas attiecināmo izmaksu noteikšanai Eiropas Savienības kohēzijas politikas programmas 2021.-2027.gada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piemērojot Regulā Nr. 2021/1060 noteikto iespēju metodikas ietvaros izstrādāt stundas likmi, kuras aprēķins balstīts uz 1720 h, izmantojamas darbaspēka bruto izmaksas, kurās apdrošināšanas izmaksas un redzes korekcijas līdzekļu kompensācijas izmaksas nav iekļaujamas.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izvērtēt iespēju veselības apdrošināšanas un redzes korekcijas līdzekļu kompensācijas izmaksas segt no netiešajām izmaksām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norādīto, ka iepriekš izteiktais priekšlikums ņemts vērā, lūdzam anotācijā sadaļas "Projekta īstenošanai tiks piemērotas šādas vienkāršotās izmaksas:" 3.punktā precizēt atbilstoši izziņā norādītajam "un citas vadošās vai atbildīgās iestādes vienkāršoto izmaksu metodikas, kas tiks izstrādātas projekta īstenošanas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1.3.apakšnodaļas apakšpunktā "Datu apstrāde" noteikto, lūdzam papildināt anotācijas 8.1.13.sadaļu ar atsauci uz Eiropas Parlamenta un Padomes 2021. gada 24. jūnija Regulas (ES)  Nr. 2021/1057, ar  ko izveido Eiropas Sociālo fondu Plus (ESF+) un atceļ Regulu (ES) Nr. 1296/2013 un, ka dati tiks iesniegti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23.08.2023.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23.08.2023.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Atzinumi_23-TA-1175.docx</dc:title>
</cp:coreProperties>
</file>

<file path=docProps/custom.xml><?xml version="1.0" encoding="utf-8"?>
<Properties xmlns="http://schemas.openxmlformats.org/officeDocument/2006/custom-properties" xmlns:vt="http://schemas.openxmlformats.org/officeDocument/2006/docPropsVTypes"/>
</file>