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23-TA-2166: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17. decembra noteikumos Nr. 1514 "Kārtība, kādā reģistrēts nodokļa maksātājs iesniedz pieteikumu pievienotās vērtības nodokļa atmaksas saņemšanai citā Eiropas Savienības dalībvalstī, un kārtība, kādā atmaksā pievienotās vērtības nodokli citas Eiropas Savienības dalībvalsts reģistrētam nodokļa maksātājam"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34.2.3.</w:t>
            </w:r>
            <w:r w:rsidR="00000000" w:rsidRPr="00000000" w:rsidDel="00000000">
              <w:rPr>
                <w:rtl w:val="0"/>
              </w:rPr>
              <w:t xml:space="preserve"> apakšpunktā minēto nosacījumu daļā par iekšzemē saņemtajiem pakalpojumiem, kas saistīti ar nekustamā īpašuma būvniecību, pārbūvi, atjaunošanu, restaurāciju vai būvniecības pakalpojumiem, nepiemēro, ja atmaksu prasa citas dalībvalsts reģistrēts nodokļa maksātājs, kas minētos pakalpojumus izmanto darījumiem, kuros par nodokļa samaksu ir atbildīgs pakalpojumu saņēmējs saskaņā ar Pievienotās vērtības nodokļa likuma 88.panta otrajā daļā noteikto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paredz citas Eiropas Savienības dalībvalsts reģistrēta pievienotās vērtības nodokļa (PVN) maksātāja tiesības saņemt PVN atmaksu par iekšzemē saņemtajiem ar nekustamo īpašumu saistītajiem pakalpojumiem, ja tos izmanto darījumiem, kuros par PVN samaksu ir atbildīgs pakalpojumu saņēmējs saskaņā ar Pievienotās vērtības nodokļa likumā noteikto. Saistībā ar minēto vēršam uzmanību, ka Pievienotās vērtības nodokļa likuma 88. panta otrā daļa un pirmšķietami arī Padomes 2006. gada 28. novembra Direktīvas 2006/112/EK par kopējo pievienotās vērtības nodokļa sistēmu 170. panta "b"  apakšpunkts attiecināms, ne vien uz ar nekustamo īpašumu saistītajiem pakalpojumiem, bet arī cita veida noteiktiem darījumiem, par kuriem nodokli saskaņā ar minēto likumu maksā vienīgi pircējs vai pakalpojumu saņēmējs (proti, 88. panta otrā daļa attiecas arī uz pakalpojumiem un papildpakalpojumiem, kuri saistīti ar biļešu iegādi kultūras, mākslas, sporta, zinātnes, izglītības, izklaides vai citiem līdzīga rakstura pasākumiem (piemēram, gadatirgi, izstādes)). Ievērojot minēto, lūdzam izvērtēt un nepieciešamības gadījumā attiecīgi papildināt noteikumu projekta 2. punktu vai sniegt pamatotu skaidrojumu, kādēļ konkrētais noteikumu projekta regulējums attiecināms vienīgi uz ar nekustamo īpašumu saistītajiem pakalpojumiem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34.2.3. par nelietota nekustamā īpašuma iegādi iekšzemē un par iekšzemē saņemtajiem pakalpojumiem, kas saistīti ar ar nekustamā īpašuma būvniecību, pārbūvi, atjaunošanu, restaurāciju vai būvniecības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"34.2.3. par nelietota nekustamā īpašuma iegādi iekšzemē un par iekšzemē saņemtajiem pakalpojumiem, kas saistīti ar nekustamā īpašuma būvniecību, pārbūvi, atjaunošanu, restaurāciju vai būvniecības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23-TA-2166</w:t>
    </w:r>
    <w:r>
      <w:br/>
    </w:r>
    <w:r w:rsidR="00000000" w:rsidRPr="00000000" w:rsidDel="00000000">
      <w:rPr>
        <w:rtl w:val="0"/>
      </w:rPr>
      <w:t xml:space="preserve">Izdrukāts 16.11.2023. 21.25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23-TA-2166</w:t>
    </w:r>
    <w:r>
      <w:br/>
    </w:r>
    <w:r w:rsidR="00000000" w:rsidRPr="00000000" w:rsidDel="00000000">
      <w:rPr>
        <w:rtl w:val="0"/>
      </w:rPr>
      <w:t xml:space="preserve">Izdrukāts 16.11.2023. 21.25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Atzinumi_23-TA-2166.docx</dc:title>
</cp:coreProperties>
</file>

<file path=docProps/custom.xml><?xml version="1.0" encoding="utf-8"?>
<Properties xmlns="http://schemas.openxmlformats.org/officeDocument/2006/custom-properties" xmlns:vt="http://schemas.openxmlformats.org/officeDocument/2006/docPropsVTypes"/>
</file>