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Pakalpojumu saņēmējs ir atbildīgs par Noziedzīgi iegūtu līdzekļu legalizācijas un terorisma un proliferācijas finansēšanas novēršanas likuma un Starptautisko un Latvijas Republikas nacionālo sankciju likuma prasību ievērošanu, cik tālu tas attiecas uz Pakalpojumu saņēmēju.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punktu, ņemot vērā, ka spēkā esošajos normatīvajos aktos atbildība jau ir noteikta, nav nepieciešama citu normatīvo aktu pārrakstīšana.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Kazaka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Pakalpojumu saņēmējs, lietojot Sistēmu un Pašapkalpošanās portālu, ir atbildīgs par: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iekļaut noteikumos normu, kurā tiek noteikta Valsts kases atbildība par sniegtajiem pakalpojumiem, to kvalitāti un atbilstību normatīvajiem aktiem. Piemēram, maksājuma rīkojuma sagatavošanu atbilstoši attaisnojuma dokumentā norādītajai informācijai (pareizs konta nr., saņēmēja nosaukums, summa u.c. attaisnojuma dokumentā norādītie rekvizīti)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Kazaka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55.11. Ārlietu ministrija un tās padotības iestādes – 2027.gada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ir izvērtējusi Valsts kases sagatavoto tiesību aktu projektu “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un informē, ka izziņā iebildumu (Nr.60) attiecībā uz projekta īstenošanas termiņu neuztur.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Ārlietu ministrijas darbības virsmērķis ir nodrošināt Latvijas valsts neatkarību, ilgtspējīgu drošību un sabiedrības labklājību jebkādos starptautiskās vides apstākļos. Ņemot vērā, ka šajā centralizācijas procesa stadijā pietrūkst detalizētas informācijas par centralizējamo procesu tvērumu un detaļām, centralizācijas procesa projekta ieviešanas gaitā var tikt konstatēti apstākļi, kas var radīt riskus Ārlietu ministrijas darbības pilnvērtīgai nodrošināšanai un tādejādi neļaut projekta ieviešanu sākotnēji plānotajā apjomā un/vai termiņā. Ņemot to vērā, Ārlietu ministrija lūdz  tiesību aktu projekta nodaļā “Noslēguma jautājumi” noteikt iespēju, kas paredzētu centralizācijas procesa gaitā mainīt centralizācijas projekta apjomu savstarpēji vienojoties.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Vojevodska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