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22-TA-3560: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11. janvāra noteikumos Nr. 35 "Kārtība, kādā izsniedzamas, apturamas, pārreģistrējamas un anulējamas speciālās atļaujas (licences) veterinārfarmaceitiskajai darbībai"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Pirms šo noteikumu spēkā stāšanās izsniegtās speciālās atļaujas (licences) veterinārās aptiekas darbībai un veterināro zāļu lieltirgotavas darbībai ir spēkā līdz to pārreģistrācijai vai apturēšanai.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110.1.1. apakšpunkts noteic, ka, </w:t>
            </w:r>
            <w:r w:rsidR="00000000" w:rsidRPr="00000000" w:rsidDel="00000000">
              <w:rPr>
                <w:u w:val="single"/>
                <w:rtl w:val="0"/>
              </w:rPr>
              <w:t xml:space="preserve">ja grozījumu noteikumu projektam ir spēkā stāšanās noteikums (proti, termiņš, kad grozījumu noteikumu projekts stāsies spēkā), to numurē kā noteikumu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2009. gada 3. februāra noteikumu Nr. 108 "Normatīvo aktu projektu sagatavošanas noteikumi" 115. un 116. punkts noteic, ka </w:t>
            </w:r>
            <w:r w:rsidR="00000000" w:rsidRPr="00000000" w:rsidDel="00000000">
              <w:rPr>
                <w:u w:val="single"/>
                <w:rtl w:val="0"/>
              </w:rPr>
              <w:t xml:space="preserve">noteikumu projektam, ja nepieciešams, raksta noslēguma jautājumus. Noslēguma jautājumos nosaka pārejas kārtību no pastāvošā tiesiskā regulējuma uz jauno tiesisko regulējumu. Noslēguma jautājumos neietver normas, kas darbojas pastāvīgi. Turklāt noslēguma jautājumus raksta kā atsevišķus noteikumu projekta punktus. Noslēguma jautājumus, turpinot noteikumu projekta numerāciju, raksta noteikumu projekta pēdējos punktos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Ministru kabineta noteikumu projekta "Grozījumi Ministru kabineta 2011. gada 11. janvāra noteikumos Nr. 35 "Kārtība, kādā izsniedzamas, apturamas, pārreģistrējamas un anulējamas speciālās atļaujas (licences) veterinārfarmaceitiskajai darbībai"" (turpmāk – projekts) 2. punktu un Ministru kabineta 2011. gada 11. janvāra noteikumos Nr. 35 "Kārtība, kādā izsniedzamas, apturamas, pārreģistrējamas un anulējamas speciālās atļaujas (licences) veterinārfarmaceitiskajai darbībai" (turpmāk – noteikumi) paredzēt attiecīgu pārejas noteikumu.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66.5. ievada Eiropas Zāļu aģentūras datubāzē informāciju par izsniegtajām un apturētajām speciālajām atļaujām (licencēm) veterināro zāļu ražošanai vai importēšanai (arī par šo noteikumu </w:t>
            </w:r>
            <w:r w:rsidR="00000000" w:rsidRPr="00000000" w:rsidDel="00000000">
              <w:rPr>
                <w:rtl w:val="0"/>
              </w:rPr>
              <w:t xml:space="preserve">1.1.2.</w:t>
            </w:r>
            <w:r w:rsidR="00000000" w:rsidRPr="00000000" w:rsidDel="00000000">
              <w:rPr>
                <w:rtl w:val="0"/>
              </w:rPr>
              <w:t xml:space="preserve"> apakšpunktā minēto speciālo atļauju (licenci)) un veterināro zāļu izplatīšanai (arī par šo noteikumu </w:t>
            </w:r>
            <w:r w:rsidR="00000000" w:rsidRPr="00000000" w:rsidDel="00000000">
              <w:rPr>
                <w:rtl w:val="0"/>
              </w:rPr>
              <w:t xml:space="preserve">1.1.4.</w:t>
            </w:r>
            <w:r w:rsidR="00000000" w:rsidRPr="00000000" w:rsidDel="00000000">
              <w:rPr>
                <w:rtl w:val="0"/>
              </w:rPr>
              <w:t xml:space="preserve"> apakšpunktā minēto speciālo atļauju (licenci);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un noteikumu kopumā atbilstību Eiropas Savienības tiesību aktiem un nodrošināt to korektu ieviešanu, tajā skaitā, novēršot regulu normu dublēšanu.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Regulu pārņemšanas aizliegums ir noteikts Eiropas Savienības Tiesas spriedumā lietā Nr. 39/72 Komisija pret Itāliju,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projektā ir nepieciešams pārrakstīt (dublēt) regulā noteikto, lūdzam regulas normas pārrakstīt identiski, jo Eiropas Savienības Tiesa ir atzinusi, ka, ja regula prasa tās piemērošanai nodrošinošu nacionālā tiesību akta pieņemšanu, atsevišķos gadījumos tomēr var tikt pieļauta regulu teksta daļu inkorporēšana nacionālajos tiesību aktos (kā piemēru skatīt lietu Nr. 272/83 Komisija v. Itālija). Tomēr norādām, ka šis gadījums attaisnojams vienīgi ar indivīdu interesēm saņemt tiem adresētu saskaņotu un labi uztveramu tiesību aktu, un regulu tiešā piemērojamība nepieļauj citus izņēmumus, ko attiecīgi lūdzam skaidrot projekta sākotnējās ietekmes </w:t>
            </w:r>
            <w:r w:rsidR="00000000" w:rsidRPr="00000000" w:rsidDel="00000000">
              <w:rPr>
                <w:i w:val="1"/>
                <w:rtl w:val="0"/>
              </w:rPr>
              <w:t xml:space="preserve">(ex-ante)</w:t>
            </w:r>
            <w:r w:rsidR="00000000" w:rsidRPr="00000000" w:rsidDel="00000000">
              <w:rPr>
                <w:rtl w:val="0"/>
              </w:rPr>
              <w:t xml:space="preserve"> novērtējuma ziņojumā (turpmāk –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minētais attiecināms, piemēram, uz projekta 1.15. apakšpunktu. Attiecīgi lūdzam izvērtēt, vai ar projekta 1.15. apakšpunktu netiek dublēta Eiropas Parlamenta un Padomes 2018. gada 11. decembra Regula (ES) 2019/6 par veterinārajām zālēm un ar ko atceļ Direktīvu 2001/82/EK (turpmāk - Regula 2019/6),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Regulas 2019/6 91. pantā ir skaidri un konkrēti noteikts, kādu informāciju kompetentās iestādes iekļauj Eiropas Savienības ražošanas un vairumtirdzniecības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Regulas 2019/6 100. panta 5. punktā noteikts, ka kompetentā iestāde konkrētajā datu bāzē publicē arī informāciju par vairumtirdzniecības atļaujām, kas šķietami izriet arī no projekta 1.15. apakšpunktā noteiktā.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piemēram, noteikumu 69.2. apakšpunktā noteikts, ka jānodrošina "</w:t>
            </w:r>
            <w:r w:rsidR="00000000" w:rsidRPr="00000000" w:rsidDel="00000000">
              <w:rPr>
                <w:i w:val="1"/>
                <w:rtl w:val="0"/>
              </w:rPr>
              <w:t xml:space="preserve">dienesta, aģentūras un inspekcijas amatpersonām iespēju jebkurā laikā iekļūt telpās un atbilstoši kompetencei veikt atbilstības novērtēšanas pārbaudes, arī veterināro zāļu labas ražošanas prakses pārbaudi, vai veikt veterināro zāļu ražošanas vai izplatīšanas kontroli</w:t>
            </w:r>
            <w:r w:rsidR="00000000" w:rsidRPr="00000000" w:rsidDel="00000000">
              <w:rPr>
                <w:rtl w:val="0"/>
              </w:rPr>
              <w:t xml:space="preserve">", kas šķietami izriet jau no Regulas 2019/6 123. panta 6. punkta. Saskaņā ar Regulas 2019/6 123. panta 6. punktu kompetentā iestāde kontroles ietvaros var veikt inspicēšanu, kuras laikā tās pārstāvji ir pilnvaroti inspicēt telpas, dokumentus u.c. būtiskas lietas. Attiecīgi noteikumu 69.2. apakšpunktā šķietami lieki noteikts, ka jānodrošina iespēju jebkurā brīdī iekļūt telpās.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noteikumu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atrunā pirmajā vietā juridiskajā tekstā, kur lietots attiecīgā normatīvā akta nosaukums, tādā veidā izvairoties no vispārinātām atsaucēm uz normatīvajiem aktiem, piemēram, "Eiropas Parlamenta un Padomes 2018. gada 11. decembra Regula (ES) 2019/6 par veterinārajām zālēm un ar ko atceļ Direktīvu 2001/82/EK (turpmāk - Regula 2019/6)".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apakšsadaļā ietverto informāciju, norādot Narkotisko un psihotropo vielu un zāļu, kā arī prekursoru likumīgās aprites likuma un uz to pamata izdoto normatīvo aktu tiesību normas, kas paredz, ka darbības ar narkotiskajām un psihotropajām zālēm var veikt veterinārmedicīniskās prakses iestāde, kurai Pārtikas un veterinārais dienests piešķīris tiesības un kuru iekļāvis specializētajā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anotācijas 1.3. apakšsadaļā precizēt formulējumu: "</w:t>
            </w:r>
            <w:r w:rsidR="00000000" w:rsidRPr="00000000" w:rsidDel="00000000">
              <w:rPr>
                <w:i w:val="1"/>
                <w:u w:val="single"/>
                <w:rtl w:val="0"/>
              </w:rPr>
              <w:t xml:space="preserve">Regulā 2019/6 noteikts, ka dienesta kompetences jomā ir </w:t>
            </w:r>
            <w:r w:rsidR="00000000" w:rsidRPr="00000000" w:rsidDel="00000000">
              <w:rPr>
                <w:i w:val="1"/>
                <w:rtl w:val="0"/>
              </w:rPr>
              <w:t xml:space="preserve">veterināro zāļu ražotāju un izplatītāju vairumtirdzniecībā uzraudzība, tostarp labas ražošanas prakses un labas izplatīšanas prakses novērtēšana, paredzot, ka dienests pēc labas ražošanas prakses novērtēšanas sagatavo labas ražošanas prakses ziņojumu</w:t>
            </w:r>
            <w:r w:rsidR="00000000" w:rsidRPr="00000000" w:rsidDel="00000000">
              <w:rPr>
                <w:rtl w:val="0"/>
              </w:rPr>
              <w:t xml:space="preserve">", ņemot vērā, ka Regulā 2019/6 nav noteikta tieši Pārtikas un veterinārā dienesta kompetence. Regulā 2019/6 vispārīgi noteiktas dalībvalstu kompetento iestāžu tiesības un pienākumi, savukārt to, kura būs šī konkrētā kompetentā iestāde, nosaka pati dalībvalsts.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vēršam uzmanību arī uz formulējumu kā "</w:t>
            </w:r>
            <w:r w:rsidR="00000000" w:rsidRPr="00000000" w:rsidDel="00000000">
              <w:rPr>
                <w:i w:val="1"/>
                <w:rtl w:val="0"/>
              </w:rPr>
              <w:t xml:space="preserve">Savukārt </w:t>
            </w:r>
            <w:r w:rsidR="00000000" w:rsidRPr="00000000" w:rsidDel="00000000">
              <w:rPr>
                <w:i w:val="1"/>
                <w:u w:val="single"/>
                <w:rtl w:val="0"/>
              </w:rPr>
              <w:t xml:space="preserve">regulas 2019/6 100.</w:t>
            </w:r>
            <w:r w:rsidR="00000000" w:rsidRPr="00000000" w:rsidDel="00000000">
              <w:rPr>
                <w:rtl w:val="0"/>
              </w:rPr>
              <w:t xml:space="preserve"> </w:t>
            </w:r>
            <w:r w:rsidR="00000000" w:rsidRPr="00000000" w:rsidDel="00000000">
              <w:rPr>
                <w:i w:val="1"/>
                <w:u w:val="single"/>
                <w:rtl w:val="0"/>
              </w:rPr>
              <w:t xml:space="preserve">panta 5. punkta "c"</w:t>
            </w:r>
            <w:r w:rsidR="00000000" w:rsidRPr="00000000" w:rsidDel="00000000">
              <w:rPr>
                <w:rtl w:val="0"/>
              </w:rPr>
              <w:t xml:space="preserve"> </w:t>
            </w:r>
            <w:r w:rsidR="00000000" w:rsidRPr="00000000" w:rsidDel="00000000">
              <w:rPr>
                <w:i w:val="1"/>
                <w:u w:val="single"/>
                <w:rtl w:val="0"/>
              </w:rPr>
              <w:t xml:space="preserve">apakšpunktā noteikts, ka dienestam </w:t>
            </w:r>
            <w:r w:rsidR="00000000" w:rsidRPr="00000000" w:rsidDel="00000000">
              <w:rPr>
                <w:i w:val="1"/>
                <w:rtl w:val="0"/>
              </w:rPr>
              <w:t xml:space="preserve">Eiropas Zāļu Aģentūras uzturētajā datubāzē jāievada arī informācija par izsniegtajām un apturētajām speciālajām atļaujām (licencēm) veterināro zāļu izplatīšanai vairumtirdzniecībā (arī veterināro narkotisko un psihotropo zāļu izplatīšanai vairumtirdzniecībā).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iesakām pārskatīt un, ja iespējams precizēt, projekta 2. pielikumu, kur ir ietverta vispārīga atsauce uz Komisijas 2021. gada 29. jūlija Īstenošanas regulu (ES) 2021/1248 par pasākumiem attiecībā uz veterināro zāļu labu izplatīšanas praksi saskaņā ar Eiropas Parlamenta un Padomes Regulu (ES) 2019/6 un izvērtēt, vai tiešām ietverama atsauce uz visu regulu kopumā vai arī ir iespējams norādīt atsauci uz konkrētām regulas vienībām. Lūdzam veikt nepieciešamos papildinājumus arī anotācijā, piemēram, ietverot tās 1.3. apakšsadaļā skaidrojumu par projekta un regulas savstarpējo saistību un nepieciešamību projektā iekļaut vispārīgu atsauci uz regulu vai anotācijas 5.4. apakšsadaļas 1. tabulā precizēt vispārīgo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1. un 4. sadaļā ietvertās informācijas izriet, ka projekts, Ministru kabineta noteikumu projekts "Grozījumi Ministru kabineta 2016. gada 31. maija noteikumos Nr. 326 "Veterināro zāļu izplatīšanas un kontroles noteikumi"" (22-TA-3537) un Ministru kabineta noteikumu projekts "Grozījumi Ministru kabineta 2008. gada 17. jūnija noteikumos Nr. 441 "Narkotisko un psihotropo vielu un zāļu iepirkšanas, saņemšanas, uzglabāšanas, izplatīšanas, izsniegšanas, uzskaites un iznīcināšanas kārtība zāļu un veterināro zāļu ražošanā, zāļu un veterināro zāļu lieltirgotavās un aptiekās"" (22-TA-3561) ir savstarpēji saistīti, tādēļ visiem trim Ministru kabineta noteikumu projektiem būtu jāstājas spēkā vienlaikus.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anotācijas 4. sadaļā nav informācijas, kā tiks nodrošināta visu trīs Ministru kabineta noteikumu projektu vienlaicīga spēkā stāšanās. Proti, anotācijas 4. sadaļā ir norādīta informācija tikai par projektu un Ministru kabineta noteikumu projektu "Grozījumi Ministru kabineta 2016. gada 31. maija noteikumos Nr. 326 "Veterināro zāļu izplatīšanas un kontroles noteikumi"" (22-TA-3537).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anotācijas 4. sadaļā ietverto informāciju vai papildināt projektu, Ministru kabineta noteikumu projektu "Grozījumi Ministru kabineta 2016. gada 31. maija noteikumos Nr. 326 "Veterināro zāļu izplatīšanas un kontroles noteikumi"" (22-TA-3537) un Ministru kabineta noteikumu projektu "Grozījumi Ministru kabineta 2008. gada 17. jūnija noteikumos Nr. 441 "Narkotisko un psihotropo vielu un zāļu iepirkšanas, saņemšanas, uzglabāšanas, izplatīšanas, izsniegšanas, uzskaites un iznīcināšanas kārtība zāļu un veterināro zāļu ražošanā, zāļu un veterināro zāļu lieltirgotavās un aptiekās"" (22-TA-3561) ar attiecīgu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 sadaļu, nodrošinot korektus skaidrojumus par Eiropas Savienības tiesību aktu ieviešanu. Vēršam uzmanību, ka anotācijas 5.1. apakšsadaļā, skaidrojot saistības pret Eiropas Savienību, Regulas 2019/6 aprakstā norādīts, ka projektā ir atsauces uz regulas tiesību normām. Iesakām vērst uzmanību tieši uz nepieciešamību ieviest konkrētas tiesību normas, izpildīt konkrētas saistības u.tml. Tāpat, tiek uzskaitītas tikai divas no visām uz projektu attiecināmajām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aizpildot anotācijas 5.4. apakšsadaļas 1. tabulu, lūdzam ievērot "Vadlīnijas tiesību akta projekta sākotnējās ietekmes novērtēšanai un novērtējuma ziņojuma sagatavošanai vienotajā tiesību aktu izstrādes un saskaņošanas portālā", piemēram, "C" kolonnās "-" aizstāt ar konkrētu informāciju par to, vai attiecināmās tiesību normas ieviestas pilnībā vai daļēji, bet, piemēram, projektā paredzot stingrākas prasības nekā noteikts Eiropas Savienības tiesību normā, to skaidro "D" kolonnā.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Farmācijas likuma</w:t>
            </w:r>
            <w:r w:rsidR="00000000" w:rsidRPr="00000000" w:rsidDel="00000000">
              <w:rPr>
                <w:rtl w:val="0"/>
              </w:rPr>
              <w:t xml:space="preserve"> 5.panta 1.punktu, 37., 45.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51.pantu un </w:t>
            </w:r>
            <w:r w:rsidR="00000000" w:rsidRPr="00000000" w:rsidDel="00000000">
              <w:rPr>
                <w:rtl w:val="0"/>
              </w:rPr>
              <w:t xml:space="preserve">Narkotisko un psihotropo vielu un zāļu, kā arī</w:t>
            </w:r>
            <w:r w:rsidR="00000000" w:rsidRPr="00000000" w:rsidDel="00000000">
              <w:rPr>
                <w:rtl w:val="0"/>
              </w:rPr>
              <w:t xml:space="preserve">prekursoru likumīgās aprites likuma</w:t>
            </w:r>
            <w:r w:rsidR="00000000" w:rsidRPr="00000000" w:rsidDel="00000000">
              <w:rPr>
                <w:rtl w:val="0"/>
              </w:rPr>
              <w:t xml:space="preserve"> 12.panta pirmo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47. punkts noteic, kā izstrādā pilnvarojumu Ministru kabinetam izdot ārēju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Valsts iestāžu juridisko dienestu vadītāju 2020. gada 22. oktobra sanāksmes protokola Nr. 2 1. § 2.1. apakšpunktā ir norādīts, ka, izstrādājot jaunu pilnvarojumu, savlaicīgi izsvērt nākotnes regulējuma saturu un gadījumā, ja uz pilnvarojuma pamata būs jāizdod arī materiāla rakstura tiesību normas, – izvairīties pilnvarojumā lietot vārdu "kārtība" vai papildināt pilnvarojumu ar vārdiem atbilstoši pilnvarojuma mērķim (piemēram, "Ministru kabinets nosaka kārtību un kritērijus [..]"), lai neradītu šaubas par pilnvarojuma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iestāžu juridisko dienestu vadītāju 2020. gada 22. oktobra sanāksmes protokola Nr. 2 1. § 2.2. apakšpunktam pilnvarojošā norma – "noteikt kārtību" – neizslēdz Ministru kabinetam tiesības pieņemt materiāla rakstura normas, ja tās atbilst likuma mērķim un citiem Latvijas Republikas Satversmes un demokrātiskas valsts pamatprincipiem un neveido jaunas, pilnvarojumā neparedzētas tiesiskās attiecības. Vienlaicīgi nepieciešams gūt pārliecību (no tiesību akta anotācijas, Latvijas Republikas Saeimas sēžu stenogrammas, Latvijas Republikas Saeimas komisiju protokoliem, priekšlikumu vēstulēm vai citiem materiāliem), ka likumdevējs, pilnvarojot Ministru kabinetu "noteikt kārtību", ir vēlējies uzdot izstrādāt ne tikai procesuāla rakstura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to, ka noteikumi un projekts paredz ne tikai procesuālās tiesību normas, bet arī materiālās tiesību normas, lūdzam izvērtēt iespēju paredzēt attiecīgus grozījumus Farmācijas likumā un Narkotisko un psihotropo vielu un zāļu, kā arī prekursoru likumīgās aprites likumā noteiktajos pilnvarojumos Ministru kabinetam, kad Farmācijas likumā un Narkotisko un psihotropo vielu un zāļu, kā arī prekursoru likumīgās aprites likumā tiks izstrādāti citi grozījumi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3</w:t>
            </w:r>
            <w:r w:rsidR="00000000" w:rsidRPr="00000000" w:rsidDel="00000000">
              <w:rPr>
                <w:rtl w:val="0"/>
              </w:rPr>
              <w:t xml:space="preserve"> Veterināro zāļu lieltirgotavas izplatīšanas atbilstību novērtē atbilstoši kārtībai, kas noteikta normatīvajos aktos par veterināro zāļu izplatīšanu un kontroli. Pēc veterināro zāļu lieltirgotavas atbilstības novērtēšanas dienests sagatavo labas izplatīšanas prakses kontroles ziņojumu, pamatojoties uz normatīvajiem aktiem par veterināro zāļu izplatīšanu un kontroli.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un, ja nepieciešams, precizēt projektā noteikto kontroles ziņojumu sagatavošanas obligātumu.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inspicēšanas un kontroles kārtība noteikta regulas 2019/6 VIII nodaļā un, piemēram, no tās 123. panta 7. punkta izriet, ka kompetento iestāžu pārstāvji ziņojumus sagatavo "vajadzības gadījumā", respektīvi no regulas 2019/6 neizriet obligāts pienākums kompetentajai iestādei sagatavot kontroles ziņojumus. Arī anotācijas 1.3. apakšsadaļā, skaidrojot projekta 1.2. apakšpunktu, netiek norādīti konkrēti apsvērumi ziņojumu obligātumam.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iesakām pārbaudīt, vai noteikumu projekta vienībās netiek ieviests Regulas 2019/6 123. pants, ņemot vērā,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1.2. apakšpunktā noteikta nepieciešamība veikt kontroles un sagatavot ziņojumus, pamatojoties uz konkrētiem nacionālajiem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kontroļu veikšana noteikta arī Regulas 2019/6 123. pantā un, ņemot vērā regulas kā tiesību akta vispārpiemērojamo raksturu, tā ir piemērojama arī attiecībā uz konkrētajā projektā minētajām kontrolēm;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anotācijas 1.3. apakšsadaļā skaidrots, ka noteikumu 21.</w:t>
            </w:r>
            <w:r w:rsidR="00000000" w:rsidRPr="00000000" w:rsidDel="00000000">
              <w:rPr>
                <w:vertAlign w:val="superscript"/>
                <w:rtl w:val="0"/>
              </w:rPr>
              <w:t xml:space="preserve">3</w:t>
            </w:r>
            <w:r w:rsidR="00000000" w:rsidRPr="00000000" w:rsidDel="00000000">
              <w:rPr>
                <w:rtl w:val="0"/>
              </w:rPr>
              <w:t xml:space="preserve"> punkts (projekta 1.2. apakšpunkts) ieviests "lai nodrošinātu skaidru veterināro lieltirgotavu atļauju izsniegšanas procedūru, kā arī regulas 2019/6 prasību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26.8.3. informāciju par iepriekšējā pārbaudē uzliktajiem administratīvajiem sodiem par veterināro zāļu apriti reglamentējošajos normatīvajos aktos vai narkotisko un psihotropo zāļu apriti reglamentējošajos normatīvajos aktos noteikto prasību pārkāpumiem, norādot arī sodītās amatpersonas un ziņas par naudas soda samaksu;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Administratīvā atbildības likumā noteiktajam par administratīvajiem pārkāpumiem </w:t>
            </w:r>
            <w:r w:rsidR="00000000" w:rsidRPr="00000000" w:rsidDel="00000000">
              <w:rPr>
                <w:u w:val="single"/>
                <w:rtl w:val="0"/>
              </w:rPr>
              <w:t xml:space="preserve">piemēro</w:t>
            </w:r>
            <w:r w:rsidR="00000000" w:rsidRPr="00000000" w:rsidDel="00000000">
              <w:rPr>
                <w:rtl w:val="0"/>
              </w:rPr>
              <w:t xml:space="preserve"> sodus, lūdzam precizēt projektā paredzētajā noteikumu 26.8.3. apakšpunktā vārdu "uzliktajiem".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projektā paredzētajā noteikumu 26.8.3. apakšpunktā lietotos vārdus "sodītās amatpersonas", jo no Farmācijas likumā un Narkotisko un psihotropo vielu un zāļu, kā arī prekursoru likumīgās aprites likumā paredzētā regulējuma neizriet, ka tiek sodītas amatpersonas.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šo noteikumu </w:t>
            </w:r>
            <w:r w:rsidR="00000000" w:rsidRPr="00000000" w:rsidDel="00000000">
              <w:rPr>
                <w:rtl w:val="0"/>
              </w:rPr>
              <w:t xml:space="preserve">26.</w:t>
            </w:r>
            <w:r w:rsidR="00000000" w:rsidRPr="00000000" w:rsidDel="00000000">
              <w:rPr>
                <w:rtl w:val="0"/>
              </w:rPr>
              <w:t xml:space="preserve"> punktā minētajā protokolā norādīti kritiski vai būtiski trūkumi, iesniedzējs piecu darbdienu laikā pēc protokola saņemšanas iesniedz aģentūrā trūkumu novēršanas plānu. Par trūkumu novēršanu iesniedzējs papīra vai elektroniska dokumenta formā informē aģentūru.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projektā paredzētajā noteikumu 26. punkta ievaddaļā noteiktā izriet, ka attiecīgo protokolu sagatavo </w:t>
            </w:r>
            <w:r w:rsidR="00000000" w:rsidRPr="00000000" w:rsidDel="00000000">
              <w:rPr>
                <w:u w:val="single"/>
                <w:rtl w:val="0"/>
              </w:rPr>
              <w:t xml:space="preserve">Zāļu valsts aģentūra vai Veselības inspekcija</w:t>
            </w:r>
            <w:r w:rsidR="00000000" w:rsidRPr="00000000" w:rsidDel="00000000">
              <w:rPr>
                <w:rtl w:val="0"/>
              </w:rPr>
              <w:t xml:space="preserve">. Savukārt projektā paredzētajā 27. punktā ir paredzēts regulējums </w:t>
            </w:r>
            <w:r w:rsidR="00000000" w:rsidRPr="00000000" w:rsidDel="00000000">
              <w:rPr>
                <w:u w:val="single"/>
                <w:rtl w:val="0"/>
              </w:rPr>
              <w:t xml:space="preserve">tikai attiecībā uz Zāļu valsts aģentūru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paredzētajā 27. punktā ietverto regulējumu vai papildināt anotāciju ar atbilstošu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22-TA-3560</w:t>
    </w:r>
    <w:r>
      <w:br/>
    </w:r>
    <w:r w:rsidR="00000000" w:rsidRPr="00000000" w:rsidDel="00000000">
      <w:rPr>
        <w:rtl w:val="0"/>
      </w:rPr>
      <w:t xml:space="preserve">Izdrukāts 03.04.2024. 13.20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22-TA-3560</w:t>
    </w:r>
    <w:r>
      <w:br/>
    </w:r>
    <w:r w:rsidR="00000000" w:rsidRPr="00000000" w:rsidDel="00000000">
      <w:rPr>
        <w:rtl w:val="0"/>
      </w:rPr>
      <w:t xml:space="preserve">Izdrukāts 03.04.2024. 13.20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Atzinumi_22-TA-3560.docx</dc:title>
</cp:coreProperties>
</file>

<file path=docProps/custom.xml><?xml version="1.0" encoding="utf-8"?>
<Properties xmlns="http://schemas.openxmlformats.org/officeDocument/2006/custom-properties" xmlns:vt="http://schemas.openxmlformats.org/officeDocument/2006/docPropsVTypes"/>
</file>