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Arodbiedrības jau sen ir apzinājušās, ka bez iesaistītas jaunatnes, nevar panākt ilgtspējīgu un godīgu darba tirgus attīstību, kas rēķinātos ar jauniešu problēmām un kas cienīgas jauniešu darbavietas uzstādītu par galveno mērķi. Tādēļ arodbiedrības uzsver jauniešu nozīmi lēmuma pieņemšanā gan uzņēmuma līmenī, gan arodbiedrību līmenī, gan nacionālā un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papildināt plāna IV nodaļas 3.4. punktu Nodrošinātas jauniešu izaugsmes un nodarbinātības iespējas (pirmās nodarbinātības pieredze, apmaksātas prakses iespējas, brīvprātīgā darba iespējas, talantu attīstība) ar jaunu punktu, kas paredz veidot jauniešiem draudzīgu nodarbinātības politiku, tostarp izstrādājot nodokļu politiku, kas darba devējus motivē darbā iesaistīt jauniešus.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risinājumiem, ko LBAS ir rosinājis jau iepriekš ir Valsts sociālās apdrošināšanas obligāto iemaksu minimālo apmēru neattiecināt ne tikai uz studējošiem jauniešiem, bet arī uz nestudējošiem jauniešiem līdz 20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LBAS ir rosinājis ieviest nodokļu stimulus darba devējiem, kuri nodrošina apmaksātas prakses vietas un darba vidē balstītas mācības, tostarp piemērojot iedzīvotāju ienākuma nodokļa atvieglojumus darbiniekiem, kuri studentiem nodrošina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Jaunatnes politikas īstenošanas plānā 2025.–2027.gadam ir jābūt cieši sasaistītam ar jaunatnes sociālajiem izaicinājumiem un jauniešu iespējām iekļauties darba tirgū. Tādēļ LBAS uzsver, ka jaunatnes plāna IV nodaļas punktu 4.2. nepieciešams papildināt ar darbības virzienu, kas nodrošina NEET jauniešu iesaisti ALMA iniciatīvās un kuras mērķis ir palīdzēt visnelabvēlīgākajā situācijā esošiem jauniešiem iekļauties sabiedrībā vienlaikus sniedzot bieži šādā situācijā esošiem jauniešiem pašiem nepieejamu pieredzi starptautiskā līmenī. Vienlaikus LBAS uzsver ka šim instrumentam ir jābūt sasaistītam ar sociālo iekļaušanu un grūtībās nonākušo jauniešu sociālo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papildināt plāna IV nodaļas 2.7.2. punktu, nosakot, ka Jaunatnes konsultatīvajā padomē tiek nodrošināta arī arodbiedrību pārstāvniecība.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plāna IV nodaļas 5.1.3. punktu papildināt ar traumatisma riskiem un to novēršanu, tostarp darba vietā un kā līdzatbildīgo iestādi noteikt arodbiedrības.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21.02.2025. 22.23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21.02.2025. 22.23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