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"Liepājas simfoniskais orķestris " peļņas daļu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"Liepājas simfoniskais orķestris" (vienotais reģistrācijas Nr. 42103049403, turpmāk – kapitālsabiedrība) sadalīt peļņu par 2022. gadu saskaņā ar Ministru kabineta 2022. gada 25. janvāra noteikumu Nr. 72 "Kārtība, kādā tiek prognozēti, noteikti un veikti maksājumi par valsts kapitāla izmantošanu" 6. un 7. punktu, nosakot, ka kapitālsabiedrība nemaksā dividendes no kapitālsabiedrības 2022. gada peļņas, un 51 208 </w:t>
            </w:r>
            <w:r w:rsidR="00000000" w:rsidRPr="00000000" w:rsidDel="00000000">
              <w:rPr>
                <w:i w:val="1"/>
                <w:rtl w:val="0"/>
              </w:rPr>
              <w:t xml:space="preserve">euro</w:t>
            </w:r>
            <w:r w:rsidR="00000000" w:rsidRPr="00000000" w:rsidDel="00000000">
              <w:rPr>
                <w:rtl w:val="0"/>
              </w:rPr>
              <w:t xml:space="preserve"> tiek novirzīti valsts deleģēto pārvaldes uzdevumu īstenošanai atbilstoši 2021. gada 4. janvārī starp Kultūras ministriju un kapitālsabiedrību noslēgtajam līdzdarbības līgumam Nr. 2.5-8-4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sabiedrībai ar ierobežotu atbildību "Liepājas simfoniskais orķestris" (vienotais reģistrācijas Nr. 42103049403,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51 208 euro novirzīt valsts deleģēto pārvaldes uzdevumu īstenošanai atbilstoši 2021. gada 5. janvārī starp Kultūras ministriju un kapitālsabiedrību noslēgtajam līdzdarbības līgumam Nr. 2.5-8-4 "Par atsevišķu valsts pārvaldes uzdevumu deleģēšanu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finanšu līdzekļi 51 208 </w:t>
            </w:r>
            <w:r w:rsidR="00000000" w:rsidRPr="00000000" w:rsidDel="00000000">
              <w:rPr>
                <w:i w:val="1"/>
                <w:rtl w:val="0"/>
              </w:rPr>
              <w:t xml:space="preserve">euro </w:t>
            </w:r>
            <w:r w:rsidR="00000000" w:rsidRPr="00000000" w:rsidDel="00000000">
              <w:rPr>
                <w:rtl w:val="0"/>
              </w:rPr>
              <w:t xml:space="preserve">apmērā tiek izmantoti orķestra mūzikas instrumentu iegādes, kā arī datortehnikas un programmatūras iegādes un ieviešanas izdevumu segšanai. Uzņēmuma ienākuma nodoklis no šā rīkojuma 1. punktā minētajiem deleģētajiem uzdevumiem novirzāmās summas tiek aprēķināts un nomaksāts normatīvajos aktos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Kultūras ministrijai kā kapitālsabiedrības kapitāla daļu turētājai nodrošināt, ka kapitālsabiedrība veic šā rīkojuma 1. punktā minētā uzdevuma izpildi. Uzņēmuma ienākuma nodoklis no šā rīkojuma 1. punktā dividendēs sadalītās peļņas daļas un minētajam deleģētajam uzdevumam novirzāmās summas tiek aprēķināts un nomaksāts normatīvajos aktos noteiktajā kārtībā un apmērā.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(sadaļām “Apraksts”, “Pašreizējā situācija”, “Risinājuma apraksts”) punktus, kas attiecas uz Ministru kabineta noteikumu Nr. 72 “Kārtība, kādā tiek prognozēti, noteikti un veikti maksājumi par valsts kapitāla izmantošanu”  tekstus par dividenžu nemaksāšanu, jo peļņa tiek sadalīta pilnā apmērā un 64% no šīs peļņas tiek aprēķinātas dividendes, taču valsts ar Ministru kabineta rīkojumu šo summu novirza deleģētā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23-TA-2456</w:t>
    </w:r>
    <w:r>
      <w:br/>
    </w:r>
    <w:r w:rsidR="00000000" w:rsidRPr="00000000" w:rsidDel="00000000">
      <w:rPr>
        <w:rtl w:val="0"/>
      </w:rPr>
      <w:t xml:space="preserve">Izdrukāts 13.10.2023.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23-TA-2456</w:t>
    </w:r>
    <w:r>
      <w:br/>
    </w:r>
    <w:r w:rsidR="00000000" w:rsidRPr="00000000" w:rsidDel="00000000">
      <w:rPr>
        <w:rtl w:val="0"/>
      </w:rPr>
      <w:t xml:space="preserve">Izdrukāts 13.10.2023.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Atzinumi_23-TA-2456.docx</dc:title>
</cp:coreProperties>
</file>

<file path=docProps/custom.xml><?xml version="1.0" encoding="utf-8"?>
<Properties xmlns="http://schemas.openxmlformats.org/officeDocument/2006/custom-properties" xmlns:vt="http://schemas.openxmlformats.org/officeDocument/2006/docPropsVTypes"/>
</file>