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aprēķinus atlīdzībai (2.pielikums) tā kā to nosaka vadlīnijas (t.i. plānojot mēnešalgu tās apmērs nepārsniedz attiecīgās  mēnešalgu grupas algu skalas intervāla viduspunktu, kā arī to, ka sociālās garantijas ietver gan atvaļinājumu pabalstu, gan arī veselības apdrošināšanas polises izdevumus.  Izņēmums attiecībā uz veselības apdrošināšanas polises izdevumiem ir piemērojams tikai tad ja šādi izdevumi saskaņā ar normatīvajiem aktiem ir obligāti).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mēnešalgu apmērus atbilstoši aktuālai algu skalai 2027.gadam, kas pieejama Valsts kancelejas tīmekļvietnē.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07.07.2026.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07.07.2026.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Atzinumi_24-TA-1778.docx</dc:title>
</cp:coreProperties>
</file>

<file path=docProps/custom.xml><?xml version="1.0" encoding="utf-8"?>
<Properties xmlns="http://schemas.openxmlformats.org/officeDocument/2006/custom-properties" xmlns:vt="http://schemas.openxmlformats.org/officeDocument/2006/docPropsVTypes"/>
</file>