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8. jūlija noteikumos Nr. 388 "Elektrisko un elektronisko iekārtu kategorijas un marķēšanas prasības un šo iekārtu atkritumu apsaimniekošanas prasības un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Papildus normatīvajos aktos par atbilstības novērtēšanu noteiktajām marķēšanas prasībām, kas attiecas uz iekārtām, ražotājs marķē iekārtas saskaņā ar šo noteikumu </w:t>
            </w:r>
            <w:r w:rsidR="00000000" w:rsidRPr="00000000" w:rsidDel="00000000">
              <w:rPr>
                <w:rtl w:val="0"/>
              </w:rPr>
              <w:t xml:space="preserve">3.</w:t>
            </w:r>
            <w:r w:rsidR="00000000" w:rsidRPr="00000000" w:rsidDel="00000000">
              <w:rPr>
                <w:rtl w:val="0"/>
              </w:rPr>
              <w:t xml:space="preserve"> pielikumu un ievērojot standartus par iekārtu marķēšanu, lai nodrošinātu iekārtu atkritumu dalītu savākšanu un novērstu iekārtu atkritumu apglabāšanu kā nešķirotus sadzīves atkritumus. Marķējumu izvieto uz iekārtas redzamā vietā. Marķējumam jābūt viegli salasāmam un neizdzēšamam. Izņēmuma gadījumā, ja iekārtu tās izmēra vai funkciju dēļ nav iespējams marķēt, marķējumu izvieto uz iekārtas iepakojuma, garantijas talona vai norāda lietošanas instrukcijā.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tiesību normai ir jābūt skaidrai, lai tās lietotājs un piemērotājs gūtu nepārprotamu priekšstatu par saviem pienākumiem un tiesībām. Lūdzam izvērtēt noteikumu projekta 1. un 2. punktu (noteikumu 6. un 6.</w:t>
            </w:r>
            <w:r w:rsidR="00000000" w:rsidRPr="00000000" w:rsidDel="00000000">
              <w:rPr>
                <w:vertAlign w:val="superscript"/>
                <w:rtl w:val="0"/>
              </w:rPr>
              <w:t xml:space="preserve">1</w:t>
            </w:r>
            <w:r w:rsidR="00000000" w:rsidRPr="00000000" w:rsidDel="00000000">
              <w:rPr>
                <w:rtl w:val="0"/>
              </w:rPr>
              <w:t xml:space="preserve"> punktu). Proti, anotācijā norādīts, ka: "</w:t>
            </w:r>
            <w:r w:rsidR="00000000" w:rsidRPr="00000000" w:rsidDel="00000000">
              <w:rPr>
                <w:i w:val="1"/>
                <w:rtl w:val="0"/>
              </w:rPr>
              <w:t xml:space="preserve">[..] noteikumu projektā ir ietverta netiešā atsauce uz piemērojamiem standartiem.</w:t>
            </w:r>
            <w:r w:rsidR="00000000" w:rsidRPr="00000000" w:rsidDel="00000000">
              <w:rPr>
                <w:rtl w:val="0"/>
              </w:rPr>
              <w:t xml:space="preserve">" Saskaņā ar Standartizācijas likuma 13. panta 1. un 3. punktu normatīvajā aktā var tikt izdarīta netieša atsauce uz standartiem, kuri normatīvajos aktos nav paredzēti kā obligāti piemērojami standarti, bet kurus </w:t>
            </w:r>
            <w:r w:rsidR="00000000" w:rsidRPr="00000000" w:rsidDel="00000000">
              <w:rPr>
                <w:u w:val="single"/>
                <w:rtl w:val="0"/>
              </w:rPr>
              <w:t xml:space="preserve">var piemērot</w:t>
            </w:r>
            <w:r w:rsidR="00000000" w:rsidRPr="00000000" w:rsidDel="00000000">
              <w:rPr>
                <w:rtl w:val="0"/>
              </w:rPr>
              <w:t xml:space="preserve">, lai izpildītu normatīvajā aktā noteiktās obligātās prasības, tādējādi paredzot </w:t>
            </w:r>
            <w:r w:rsidR="00000000" w:rsidRPr="00000000" w:rsidDel="00000000">
              <w:rPr>
                <w:u w:val="single"/>
                <w:rtl w:val="0"/>
              </w:rPr>
              <w:t xml:space="preserve">brīvprātīgu piemērošanu</w:t>
            </w:r>
            <w:r w:rsidR="00000000" w:rsidRPr="00000000" w:rsidDel="00000000">
              <w:rPr>
                <w:rtl w:val="0"/>
              </w:rPr>
              <w:t xml:space="preserve">. Tomēr vēršam uzmanību, ka ar noteikumu projektā ietverto atsauci ražotājam faktiski tiek uzlikts pienākums marķēt iekārtas, </w:t>
            </w:r>
            <w:r w:rsidR="00000000" w:rsidRPr="00000000" w:rsidDel="00000000">
              <w:rPr>
                <w:u w:val="single"/>
                <w:rtl w:val="0"/>
              </w:rPr>
              <w:t xml:space="preserve">ievērojot standartus par iekārtu marķēšanu.</w:t>
            </w:r>
            <w:r w:rsidR="00000000" w:rsidRPr="00000000" w:rsidDel="00000000">
              <w:rPr>
                <w:rtl w:val="0"/>
              </w:rPr>
              <w:t xml:space="preserve"> Attiecīgi lūdzam precizēt noteikumu projektu (piemēram, aicinām salīdzinājumam skat. Ministru kabineta noteikumu Nr. 138 “Noteikumi par katliekārtu tehnisko uzraudzību” 3., 4. un 7. punktu vai  Ministru kabineta noteikumu Nr. 132 “Rotaļlietu drošuma noteikumi” 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un 2. punktā (noteikumu 6. un 6.</w:t>
            </w:r>
            <w:r w:rsidR="00000000" w:rsidRPr="00000000" w:rsidDel="00000000">
              <w:rPr>
                <w:vertAlign w:val="superscript"/>
                <w:rtl w:val="0"/>
              </w:rPr>
              <w:t xml:space="preserve">1</w:t>
            </w:r>
            <w:r w:rsidR="00000000" w:rsidRPr="00000000" w:rsidDel="00000000">
              <w:rPr>
                <w:rtl w:val="0"/>
              </w:rPr>
              <w:t xml:space="preserve"> punktā) noteikts, ka iekārtu marķēšana jāveic saskaņā ar standartiem par iekārtu marķēšanu. Projekta anotācijas 2. un 3. lpp. tiek norādīts, ka:” </w:t>
            </w:r>
            <w:r w:rsidR="00000000" w:rsidRPr="00000000" w:rsidDel="00000000">
              <w:rPr>
                <w:i w:val="1"/>
                <w:rtl w:val="0"/>
              </w:rPr>
              <w:t xml:space="preserve">Direktīvā 2024/884 ir ietverta </w:t>
            </w:r>
            <w:r w:rsidR="00000000" w:rsidRPr="00000000" w:rsidDel="00000000">
              <w:rPr>
                <w:b w:val="1"/>
                <w:i w:val="1"/>
                <w:rtl w:val="0"/>
              </w:rPr>
              <w:t xml:space="preserve">atsauce uz Eiropas standartu EN 50419</w:t>
            </w:r>
            <w:r w:rsidR="00000000" w:rsidRPr="00000000" w:rsidDel="00000000">
              <w:rPr>
                <w:i w:val="1"/>
                <w:rtl w:val="0"/>
              </w:rPr>
              <w:t xml:space="preserve">, ko CENELEC pieņēma 2022. gada jūlijā (EN 50419:2022. Marking of electrical and electronic equipment (EEE) in respect to separate collection of waste EEE (WEEE)).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13. marta Direktīvas (ES) 2024/884, ar ko groza Direktīvu 2012/19/ES par elektrisko un elektronisko iekārtu atkritumiem (EEIA) (turpmāk - Direktīva 2024/884) 1. panta 4. un 5. punktā noteikts, ka Eiropas standartu EN 50419:2022 “vēlams” piemērot jeb tiek noteikta attiecīgā standarta </w:t>
            </w:r>
            <w:r w:rsidR="00000000" w:rsidRPr="00000000" w:rsidDel="00000000">
              <w:rPr>
                <w:u w:val="single"/>
                <w:rtl w:val="0"/>
              </w:rPr>
              <w:t xml:space="preserve">brīvprātīga piemērošana</w:t>
            </w:r>
            <w:r w:rsidR="00000000" w:rsidRPr="00000000" w:rsidDel="00000000">
              <w:rPr>
                <w:rtl w:val="0"/>
              </w:rPr>
              <w:t xml:space="preserve">. Attiecīgi aicinām projekta anotācijas 1. nodaļas “Risinājuma apraksts” sadaļā precizitātes labad norādīt, ka Direktīvā 2024/884  attiecīgā standarta izmantošana iekārtu marķēšanā noteikta kā vēlama, nevis obligāta, attiecīgi arī projektā ietverot netiešās atsauces uz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Direktīvā 2024/884 noteiktais standarts norādīts sekojoši “Eiropas standarts </w:t>
            </w:r>
            <w:r w:rsidR="00000000" w:rsidRPr="00000000" w:rsidDel="00000000">
              <w:rPr>
                <w:b w:val="1"/>
                <w:rtl w:val="0"/>
              </w:rPr>
              <w:t xml:space="preserve">EN 50419:2022</w:t>
            </w:r>
            <w:r w:rsidR="00000000" w:rsidRPr="00000000" w:rsidDel="00000000">
              <w:rPr>
                <w:rtl w:val="0"/>
              </w:rPr>
              <w:t xml:space="preserve">” (skat. Direktīvas 2024/884 1. panta 4. un 5. punktu). Projekta anotācijā ievietota nepilnīga atsauce jeb “Eiropas standarts </w:t>
            </w:r>
            <w:r w:rsidR="00000000" w:rsidRPr="00000000" w:rsidDel="00000000">
              <w:rPr>
                <w:b w:val="1"/>
                <w:rtl w:val="0"/>
              </w:rPr>
              <w:t xml:space="preserve">EN 50419</w:t>
            </w:r>
            <w:r w:rsidR="00000000" w:rsidRPr="00000000" w:rsidDel="00000000">
              <w:rPr>
                <w:rtl w:val="0"/>
              </w:rPr>
              <w:t xml:space="preserve">”. Lūdzam attiecīgi precizēt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25-TA-266</w:t>
    </w:r>
    <w:r>
      <w:br/>
    </w:r>
    <w:r w:rsidR="00000000" w:rsidRPr="00000000" w:rsidDel="00000000">
      <w:rPr>
        <w:rtl w:val="0"/>
      </w:rPr>
      <w:t xml:space="preserve">Izdrukāts 14.04.2025. 21.45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25-TA-266</w:t>
    </w:r>
    <w:r>
      <w:br/>
    </w:r>
    <w:r w:rsidR="00000000" w:rsidRPr="00000000" w:rsidDel="00000000">
      <w:rPr>
        <w:rtl w:val="0"/>
      </w:rPr>
      <w:t xml:space="preserve">Izdrukāts 14.04.2025. 21.45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Atzinumi_25-TA-266.docx</dc:title>
</cp:coreProperties>
</file>

<file path=docProps/custom.xml><?xml version="1.0" encoding="utf-8"?>
<Properties xmlns="http://schemas.openxmlformats.org/officeDocument/2006/custom-properties" xmlns:vt="http://schemas.openxmlformats.org/officeDocument/2006/docPropsVTypes"/>
</file>