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"Bezmeru ceļš 2"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tiesības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novērstu dalītā īpašuma izveidošanās iespēju nākotnē, lūdzam anotācijas 1.3.sadaļā "Risinājuma apraksts" norādīt: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iestāsies pienākums nekustamo īpašumu atgriezt pašvaldībai, tad atbilstoši Civillikuma 968. pantam un Publiskas personas mantas atsavināšanas likuma 42. pantam nekustamais īpašums </w:t>
            </w:r>
            <w:r w:rsidR="00000000" w:rsidRPr="00000000" w:rsidDel="00000000">
              <w:rPr>
                <w:rtl w:val="0"/>
              </w:rPr>
              <w:t xml:space="preserve">pēc datu aktualizācijas n</w:t>
            </w:r>
            <w:r w:rsidR="00000000" w:rsidRPr="00000000" w:rsidDel="00000000">
              <w:rPr>
                <w:rtl w:val="0"/>
              </w:rPr>
              <w:t xml:space="preserve">ekustamā īpašuma valsts kadastra informācijas sistēmā</w:t>
            </w:r>
            <w:r w:rsidR="00000000" w:rsidRPr="00000000" w:rsidDel="00000000">
              <w:rPr>
                <w:rtl w:val="0"/>
              </w:rPr>
              <w:t xml:space="preserve"> tiks nodots pašvaldībai </w:t>
            </w:r>
            <w:r w:rsidR="00000000" w:rsidRPr="00000000" w:rsidDel="00000000">
              <w:rPr>
                <w:rtl w:val="0"/>
              </w:rPr>
              <w:t xml:space="preserve">visā tā sastāvā (galvenā lieta - zemes vienība un tās būtiskā daļa -  uz tās esošā inženierbūve ar jebkādiem uzlabojumiem, ja tādi tiks veikti).</w:t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Mareks Reders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24-TA-2324</w:t>
    </w:r>
    <w:r>
      <w:br/>
    </w:r>
    <w:r w:rsidR="00000000" w:rsidRPr="00000000" w:rsidDel="00000000">
      <w:rPr>
        <w:rtl w:val="0"/>
      </w:rPr>
      <w:t xml:space="preserve">Izdrukāts 14.10.2024.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24-TA-2324</w:t>
    </w:r>
    <w:r>
      <w:br/>
    </w:r>
    <w:r w:rsidR="00000000" w:rsidRPr="00000000" w:rsidDel="00000000">
      <w:rPr>
        <w:rtl w:val="0"/>
      </w:rPr>
      <w:t xml:space="preserve">Izdrukāts 14.10.2024.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