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 iekšzemes komandējumu un darba (dienesta) braucienu izmaksas. Iekšzemes komandējumu un darba (dienesta) braucienu izmaksām piemēro Finanšu ministrijas izstrādāto metodiku “Vienas vienības izmaksu standarta likmes aprēķina un piemērošanas metodika 1 km izmaksām darbības programmas “Izaugsme un nodarbinātība” un Eiropas Savienības kohēzijas politikas programmas 2021.–2027. gadam  īstenošanai” (turpmāk – viena kilometra izmaksu metodika) un metodiku “Vienas vienības izmaksu standarta likmes aprēķina un piemērošanas metodika iekšzemes komandējumu izmaksām darbības programmas “Izaugsme un nodarbinātība” īstenošanai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Ministru kabineta 2009. gada 3. februāra noteikumu Nr. 108 "Normatīvo aktu projektu sagatavošanas noteikumi" 136. punktā noteiktajam, ka noteikumu projektā </w:t>
            </w:r>
            <w:r w:rsidR="00000000" w:rsidRPr="00000000" w:rsidDel="00000000">
              <w:rPr>
                <w:u w:val="single"/>
                <w:rtl w:val="0"/>
              </w:rPr>
              <w:t xml:space="preserve">neietver atsau­ces uz zemāka juridiskā spēka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citas noteikumu projekta normas, kurās ietvertas šādas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kopējie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priekšlikumu precizēt noteikumu projekta 6.4.apakšpunktu, jo no noteikumu projekta 6.punkta ievaddaļas un 6.4.apakšpunkta izriet, ka investīcijas īstenošanā sasniedzamie "kopējie rādītāji" ir "personu skaits". Vēršam uzmanību, ka 6.3.apakšpunktā nav norādīti nekādi skaitliski vai saturiski rezultāti, ko būtu iespējams sasniegt.  Ievērojot minēto, aicinām precizēt 6.punktu (6.4.apakšpunktu), piemēram, paredzot, ka </w:t>
            </w:r>
            <w:r w:rsidR="00000000" w:rsidRPr="00000000" w:rsidDel="00000000">
              <w:rPr>
                <w:i w:val="1"/>
                <w:rtl w:val="0"/>
              </w:rPr>
              <w:t xml:space="preserve">investīcijas efektivitāti novērtē pēc šādiem rādītājiem</w:t>
            </w:r>
            <w:r w:rsidR="00000000" w:rsidRPr="00000000" w:rsidDel="00000000">
              <w:rPr>
                <w:rtl w:val="0"/>
              </w:rPr>
              <w:t xml:space="preserve"> (iesaistīto personu skaita), vai tamlīdzīgi.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arī noteikumu projekta 7.4. – 7.6.apakšpunktu.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izskatot  grozījumus projektā, aģentūrai ir tiesības konsultēties ar ministriju par šajos noteikumos ietverto nosacījumu piemērošanu. Ministrija uz aģentūras konsultācijas pieprasījumu atbildi sniedz 10 darbdienu laikā, attiecīgi par šo termiņu tiek pagarināts projekta grozījumu priekšlikuma izskatīšanas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šāds regulējums un šādā detalizācijas pakāpē ir jāiekļauj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vērsām uzmanību sākotnējā atzinumā, noteikumu projekta 27.punkts kopumā regulē iestāžu sadarbības jautājumus, un visas projekta veidlapas apstiprināšanā un grozīšanā iesaistītās personas, tai skaitā projekta iesniedzējs (finansējuma saņēmējs) un sadarbības partneris, ir valsts pārvaldes iestādes, kam jau ir pienākums sadarboties Valsts pārvaldes iekārtas likuma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Ar valsts atbalsta saņemšanu saistītie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precziēt nodaļas nosaukumu, aizstājot terminu "valsts atbalsts" ar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24.03.2023. 08.59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24.03.2023. 08.59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