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22-TA-2968: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Automātiskās informācijas apmaiņas par pārdevējiem, kuri gūst ienākumus, izmantojot digitālās platformas,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platforma – jebkāda programmatūra, tostarp tīmekļa vietne vai tās daļa, un lietotnes, tostarp mobilās lietotnes, kam var piekļūt lietotāji un kas ļauj pārdevējiem pieslēgties citiem lietotājiem, lai šādiem lietotājiem tieši vai netieši veiktu attiecīgo darbību. Tas ietver arī jebkādu vienošanos par atlīdzības par attiecīgo darbību iekasēšanu un samaksu. Termins “platforma” neietver programmatūru, kas bez turpmākas iejaukšanās attiecīgās darbības veikšanā ļauj tikai un vienīgi kādu no turpmāk minētā: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skaidri norādīt, par kādām (proti, digitālajām) platformām noteikumu projekta 2.1. apakšpunktā u.c. ir runa. Pēc Tieslietu ministrijas iebilduma uz atkārtotu saskaņošanu precizēts tikai noteikumu projekta nosaukums. Vēršam turklāt uzmanību, ka arī noteikumu projekta 1.1. apakšpunktā, kā arī likuma "Par nodokļiem un nodevām" 15. panta vienpadsmitajā daļā lietots termins "digitālā platforma". Lūdzam izmantot vienveidīgu un konsekventu terminoloģiju.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platforma – jebkāda programmatūra, tostarp tīmekļa vietne vai tās daļa, un lietotnes, tostarp mobilās lietotnes, kam var piekļūt lietotāji un kas ļauj pārdevējiem pieslēgties citiem lietotājiem, lai šādiem lietotājiem tieši vai netieši veiktu attiecīgo darbību. Tas ietver arī jebkādu vienošanos par atlīdzības par attiecīgo darbību iekasēšanu un samaksu. Termins “platforma” neietver programmatūru, kas bez turpmākas iejaukšanās attiecīgās darbības veikšanā ļauj tikai un vienīgi kādu no turpmāk minētā: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saistībā ar izziņas 4. punktā minēto iebildumu norādām, ka, kaut arī Padomes 2021. gada 22. marta direktīvā (ES) 2021/514, ar ko groza Direktīvu 2011/16/ES par administratīvu sadarbību nodokļu jomā (turpmāk - Direktīva Nr. 2021/514) jāpārņem arī termini, kas līdz šim nav bijuši nedz definēti, nedz lietoti Latvijas normatīvajos aktos, vairākos gadījumos noteikumu projektā pārformulēšanas metode varētu būt efektīvāka un nodrošinātu direktīvas mērķa sasniegšanu, vienlaikus noteikumu projekta regulējumam atbilstot arī Latvijas tiesību sistēmai, tās juridiskajai valodai un tehnikai. Paužam bažas, ka tieši transponēšanas metodes nekritiska izmantošana, pārkopējot minētās direktīvas normas noteikumu projektā, vairākos gadījumos varētu apdraudēt šīs direktīvas mērķa sasniegšanu, ņemot vērā to, ka, ka noteikumu projekts šobrīd ir vairākos gadījumos grūti uztverams un neskaidrs. Attiecīgi atkārtoti lūdzam pārskatīt un precizēt noteikumu projektu, kur tas ir pamatoti, pārformulējot direktīvas Nr. 2021/514 normas, kā arī sniedzot skaidrojumus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atkārtoti lūdzam precizēt projekta 2.1. apakšpunktā vai anotācijā skaidrot, kā izpaužas pārdevēju "pieslēgšanās" citiem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tiesiskās noteiktības nolūkā atkārtoti lūdzam noteikumu projektā un tā anotācijā skaidrot tiesiskās sekas attiecībā uz ziņojošā platformas operatora tiesībām paļauties uz noteiktu informāciju, dokumentu vai personu (sk. noteikumu projekta 5. punktu, 19. punkta ievaddaļu, 20. punktu u.c.) vai uzskatīt kādus faktus (sk. noteikumu projekta 15. un 16. punktu u.c.) vai noteikt, ka attiecīgā informācija vai dokuments ir uzticama (sk. 12.-14., 19.2. un 53. apakšpunktu), tai skaitā, vai pretējā gadījumā netiek izpildīts ziņošanas pienākums vai pienācīgas pārbaudes pienākums v.tml.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izslēgtais platformas operators - platformas operators, kas iepriekš un katru gadu līdz attiecīgā ziņošanas perioda beigām Valsts ieņēmumu dienestam vai citas Eiropas Savienības dalībvalsts kompetentai iestādei saskaņā ar attiecīgās valsts tiesību aktiem ir pierādījis, ka platformas vispārējais saimnieciskās darbības modelis ir tāds, ka tam nav pārdevēju, par kuriem jāsniedz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izziņas 11. punktā ietverto iebildumu un paužam bažas, ka joprojām nav skaidrs, kas ir saprotams ar noteikumu projekta 2.3. apakšpunktā ietverto norādi "iepriekš" un kādēļ tāda norāde vispār vajadzīga. Norādām, ka no noteikumu projekta arī neizriet tiesiskais regulējums, kādā kārtībā operators var pierādīt Valsts ieņēmumu dienestā 2.3. apakšpunktā minēto apstākli. Attiecīgi lūdzam atbilstoši precizēt noteikumu projektu un sniegt pamatotu skaidrojumu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 galvenā adrese – pārdevēja, kas ir fiziskā persona, galvenā dzīvesvieta, vai arī pārdevēja, kas ir vienība, juridiskā adrese;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4. punktā ietverto iebildumu, lai atvieglotu noteikumu projekta piemērošanu praksē, lūdzam precizēt noteikumu projektā vai skaidrot anotācijā noteikumu projekta 2.20. apakšpunktā lietoto terminu "galvenā dzīvesvieta".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nesen izdota rezidenta apliecība.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41. punktā ietverto iebildumu par termina "nesen" lietošanu noteikumu projekta 14.2. apakšpunktā lūdzam anotācijā pilnībā ietvert izziņas 40. punktā ietvertos apsvērumus, ņemot vērā, ka anotācijā ietverts tikai daļējs skaidrojums.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Valsts ieņēmumu dienests 5 darbdienu laikā pēc informācijas saņemšanas elektroniskās deklarēšanas sistēmā, elektroniski informē ziņojošās platformas operatoru par informācijas saņemšanu. Ja Valsts ieņēmumu dienests konstatē, ka ziņojošās platformas operatora sniegtā informācija ir kļūdaina, nepilnīga vai citādi neatbilst šo noteikumu prasībām, tas pēc iespējas ātrāk, bet ne vēlāk kā 15 darbdienu laikā pēc neatbilstības konstatēšanas informē Valsts ieņēmumu dienesta elektroniskās deklarēšanas sistēmā ziņojošo platformas operatoru par nepieciešamību veikt attiecīgus labojumus.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noteikumu projekta 26. punktā lietot vienveidīgu terminoloģiju, izmantojot formulējumu "veikt attiecīgas korekcijas" (sk. 27.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Informāciju par atlīdzību un citām šajos noteikumos paredzētajām summām paziņo par to pārskata perioda ceturksni, kurā šī atlīdzība izmaksāta vai kreditēta.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precizēt noteikumu projekta 34. punktu, pēc vārdiem "šī atlīdzība" konsekventi kā pirmajā teikuma daļā ievietot vārdus "un citas šajos noteikumos paredzētās summas".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Ziņošana, ievērojot šo noteikumu 36. un 37. punktu, notiek, izmantojot 2022. gada 5. septembra Komisijas īstenošanas regulā (Es) 2022/1467, ar ko groza Īstenošanas regulu (ES) 2015/2378 attiecībā uz standarta veidlapām un elektroniskajiem formātiem, kas jāizmanto saistībā ar Padomes Direktīvu 2011/16/ES, un attiecībā uz statistikas datu sarakstu, kas dalībvalstīm jāsniedz minētās direktīvas izvērtēšanas vajadzībām noteikto standarta elektronisko formātu, divu mēnešu laikā pēc tam, kad beidzies pārskata periods, uz kuru attiecas ziņojošā platformas operatora ziņošanas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normas vieglākas piemērošanas nolūkā precizēt noteikumu projekta 38. punktu, norādot konkrētu 2022. gada 5. septembra Komisijas īstenošanas regulas (Es) 2022/1467, ar ko groza Īstenošanas regulu (ES) 2015/2378 attiecībā uz standarta veidlapām un elektroniskajiem formātiem, kas jāizmanto saistībā ar Padomes Direktīvu 2011/16/ES, un attiecībā uz statistikas datu sarakstu, kas dalībvalstīm jāsniedz minētās direktīvas izvērtēšanas vajadzībām, regulas vienību, kā arī atsaucē regulas pieņemšanas datumu novietot aiz vārda "Komisijas".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ņemot vērā ietverto atsauci, aizpildīt anotācijas 5.1. sadaļu un 5.4. sadaļas 1. tabulu, norādot informāciju par regulas normu ieviešanu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Ziņojošais platformas operators reģistrē veiktos pasākumus un visu informāciju, kas izmantota šo noteikumu 2. un 3. nodaļā noteikto pienācīgas pārbaudes procedūru un ziņošanas prasību izpildei. Šāds reģistrs ir pieejams ne mazāk kā 5 gadus, bet ne vairāk kā 10 gadus pēc tā pārskata perioda beigām, uz kuru tas attiecas. Šajā punktā noteiktajās robežās konkrētu reģistra pieejamības termiņu nosaka attiecīgais ziņojošais platformas operators, ņemot vērā konkrētajai situācijai atbilstošus objektīvus kritērijus (piemēram, nodokļu kontroles veikšanas noilguma termiņu valstī, kurā šo noteikumu izpratnē ir rezidenti liels īpatsvars attiecīgās platformas pārdevēju).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40. punktā ietvertā norāde "valstī, kurā šo noteikumu izpratnē ir rezidenti liels īpatsvars attiecīgās platformas pārdevēju" nav loģiski formulēta un saprotama. Attiecīgi lūdzam precizēt. Papildus norādām, ka nav pilnīgi skaidrs, kas normā domāts ar "konkrēto situāciju". Attiecīgi lūdzam precizēt normu vai sniegt skaidrojumu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Gadījumā, ja ziņojošā platformas operatora reģistrācija Eiropas Komisijas izveidotajā centrālajā reģistrā anulēta, Valsts ieņēmumu dienests reģistrē attiecīgo ziņojošo platformas operatoru atkārtoti, ja tas sniedz pienācīgas garantijas (piemēram, iemaksājot drošības naudu) par savu apņemšanos izpildīt ziņošanas prasības visās Eiropas Savienības dalībvalstīs, tostarp visas vēl neizpildītās ziņošanas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noteikumu projekta 49. punktā ietverto norādi uz drošības naudas iemaksu kā vienu no pienācīgu garantiju piemēriem lūdzam precizēt noteikumu projektu, ietverot pilnīgu normatīvo regulējumu. Vēršam uzmanību, ka nav skaidrs, par kādu drošības naudu ir runa, kur un kādā procesā ir pienākums tādu iemaksāt, kāds ir drošības naudas apmērs, kā arī, kā notiek drošības naudas atgriešana. Paužam arī bažas, ka nav skaidrs, kādas vēl var būt pienācīgas garantijas normas izpratnē. Norādām, ka normatīvajam regulējumam ir jābūt skaidram. Attiecīgi lūdzam precizēt noteikumu projektu, kā arī sniegt skaidrojumu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Latvijas kompetentai iestādei ar valsti, kas nav Eiropas Savienības dalībvalsts, noslēdzot kompetento iestāžu līgumu, kas paredz automātisku informācijas apmaiņu, kas līdzvērtīga šo noteikumu 3.2. apakšnodaļā minētajai informācijai, ir tiesības lūgt Eiropas Komisiju sniegt izvērtējumu par minētā kompetento iestāžu līguma atbilstību Eiropas Savienības tiesību aktu, kas pārņemts ar šiem noteikumiem.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noteikumu projekta 51. punktu, skaidri norādot to, ka iesniegts tiek </w:t>
            </w:r>
            <w:r w:rsidR="00000000" w:rsidRPr="00000000" w:rsidDel="00000000">
              <w:rPr>
                <w:u w:val="single"/>
                <w:rtl w:val="0"/>
              </w:rPr>
              <w:t xml:space="preserve">pamatots</w:t>
            </w:r>
            <w:r w:rsidR="00000000" w:rsidRPr="00000000" w:rsidDel="00000000">
              <w:rPr>
                <w:rtl w:val="0"/>
              </w:rPr>
              <w:t xml:space="preserve"> pieprasījums, tādējādi pienācīgi pārņemot attiecīgās direktīvas prasības. Papildus lūdzam izziņas 78. punktā ietverto skaidrojumu par termina "kompetentā iestāde" izpratni ietvert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Pirmā informācijas apmaiņa saskaņā ar šiem noteikumiem tiek veikta par pārskata periodu, kas sākas no 2023. gada 1. janvāra.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noteikumu projekts ir saskaņošanas stadijā, lūdzam skaidrot noteikumu projekta normas (sk., piemēram, 53. punktu), kas attiecas uz daļēji jau pagājušu laika periodu, īpaši skaidrojot, vai tās paredz atpakaļejošu spēku. Vēršam uzmanību, ka Latvijas tiesību sistēmā nav piemērojamas tiesību normas ar atpakaļejošu spēku. Proti, Oficiālo publikāciju un tiesiskās informācijas likuma 9. panta ceturtā daļa noteic, ka normatīvajiem aktiem nav atpakaļejoša spēka, izņemot likumā īpaši paredzētus gadījumus. Lūdzam izvērtēt un nepieciešamības gadījumā attiecīgi precizēt noteikumu projektu vai sniegt atbilstošu skaidrojumu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86. izziņas punktā ietvertais Tieslietu ministrijas iebildums par anotācijas 5.4. sadaļas 1. tabulas precizēšanu tikai daļēji ņemts vērā. Pamatojoties uz Ministru kabineta 2021. gada 7. septembra noteikumu Nr. 617 "Tiesību akta projekta sākotnējās ietekmes izvērtēšanas kārtība" 9.19. apakšpunktu, lūdzam pilnveidot noteikumu projekta anotācijas 5.4. sadaļas 1. tabulu: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 skaidrojumu par Direktīvas Nr. 2021/514 1. panta 1. punkta pārņemšanu noteikumu projektā. Norādām, ka par 1. panta 1. punkta "a", "b" un "c" apakšpunktu tabulā informācija nav iekļauta vispār, turklāt attiecībā uz normas pilnīgu pārņemšanu informācija nav aktuāla (sk. norādi par pilnīgas pārņemšanas termiņu). Turklāt lūdzam izdalīt atsevišķi tabulā 1. panta 1. punkta apakšvienības, tādējādi uzskatāmāk atspoguļojot informāciju par to pārņemšanu. Papildus norādām, ka Direktīvai Nr. 2021/514 nav V pielikuma, bet gan ir 1. panta 20. punkts, kas paredz Padomes Direktīvai 2011/16/ES ( 2011. gada 15. februāris ) par administratīvu sadarbību nodokļu jomā un ar ko atceļ Direktīvu 77/799/EEK (turpmāk - Direktīva Nr. 2011/16/ES) pievienot V pielikumu (iekļauts Direktīvas Nr. 2021/514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Direktīvas Nr. 2021/514 1. panta 14. punkta "b" apakšpunktā aizstātais Direktīvas Nr. 2011/16/ES 20. panta 3. punkts nav adresēts Komisijai, attiecīgi lūdzam tabulā norādīt, kur tas ir pārņemts.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 1. tabulu ar skaidrojumu par Direktīvas Nr. 2021/514 1. panta 9. punkta, Direktīvas Nr. 2021/514 pielikumā izteiktā Direktīvas Nr. 2011/16/ES V pielikuma IV iedaļas 1. teikuma, A. punkta 1. apakšpunkta, C. punkta, D. punkta, F. punkta 6. apakšpunkta 2. punkta pārņemšanu;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precizēt skaidrojumu par Direktīvas Nr. 2021/514 pielikumā izteiktā Direktīvas Nr. 2011/16/ES V pielikuma IV iedaļas F. punkta 7. apakšpunkta prasības pārņemšanu, ņemot vērā, ka tas, šķiet, nav pārņemts noteikumu projekta 49.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attiecībā uz tabulā ietverto norādi, ka Direktīvas Nr. 2021/514 2. pants pārņemts noteikumu projekta 54. punktā, vēršam uzmanību, ka noteikumu projektā nav 54. punkta.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Paužam bažas, ka nav pilnīgi saprotams anotācijas 5.4. sadaļas 1. tabulā ietvertais skaidrojums par Direktīvā Nr. 2021/514 ietvertās rīcības brīvības izmantošanu. Kaut arī formulējums "dalībvalsts veic vajadzīgos pasākumus" var ietvert arī organizatoriska rakstura pasākumus, tas var nozīmēt arī dalībvalstij nodrošināt tādu normatīvo regulējumu, lai direktīvā paredzētās prasības var efektīvi īstenot, īpaši ņemot vērā, ka privātpersonām saistošas prasības ietveramas ārējā normatīvajā aktā. Atgādinām arī, ka noteikumu projektā jābūt ietvertam pietiekamam regulējums, lai sasniegtu direktīvas Nr. 2021/514 mērķi, lai direktīvas prasības būtu efektīvi pārņemtas (sk. arī direktīvas Nr. 2021/514 pielikumā izteiktajā direktīvas Nr. 2011/16/ES V pielikuma IV iedaļas 1. teikumu). Piemēram, atkārtoti norādām, ka no noteikumu projekta, šķiet, neizriet tiesiskais regulējums, kādā kārtībā operators var pierādīt Valsts ieņēmumu dienestā 2.3. apakšpunktā minēto apstākli.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atkārtoti izvērtēt un precizēt skaidrojumu, kā arī nepieciešamības gadījumā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Ja pārdevējs, par kuru jāsniedz ziņojums, sniedz nekustamā īpašuma iznomāšanas pakalpojumus, paziņo šādu papildu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noteikumu projekta 37. punktā, kas (proti, Valsts ieņēmumu dienests) paziņo attiecīgo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Latvijas kompetentai iestādei ar valsti, kas nav Eiropas Savienības dalībvalsts, noslēdzot kompetento iestāžu līgumu, kas paredz automātisku informācijas apmaiņu, kas līdzvērtīga šo noteikumu 3.2. apakšnodaļā minētajai informācijai, ir tiesības lūgt Eiropas Komisiju sniegt izvērtējumu par minētā kompetento iestāžu līguma atbilstību Eiropas Savienības tiesību aktu, kas pārņemts ar šiem noteikumiem.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vārda "aktu" locījumu (proti, "aktam") noteikumu projekta 51.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22-TA-2968</w:t>
    </w:r>
    <w:r>
      <w:br/>
    </w:r>
    <w:r w:rsidR="00000000" w:rsidRPr="00000000" w:rsidDel="00000000">
      <w:rPr>
        <w:rtl w:val="0"/>
      </w:rPr>
      <w:t xml:space="preserve">Izdrukāts 09.01.2023. 10.23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22-TA-2968</w:t>
    </w:r>
    <w:r>
      <w:br/>
    </w:r>
    <w:r w:rsidR="00000000" w:rsidRPr="00000000" w:rsidDel="00000000">
      <w:rPr>
        <w:rtl w:val="0"/>
      </w:rPr>
      <w:t xml:space="preserve">Izdrukāts 09.01.2023. 10.23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Atzinumi_22-TA-2968.docx</dc:title>
</cp:coreProperties>
</file>

<file path=docProps/custom.xml><?xml version="1.0" encoding="utf-8"?>
<Properties xmlns="http://schemas.openxmlformats.org/officeDocument/2006/custom-properties" xmlns:vt="http://schemas.openxmlformats.org/officeDocument/2006/docPropsVTypes"/>
</file>