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 uz gala labuma guvēju attiecas tāds attiecīgā jomā kompetentas institūcijas lēmums par sodu vai tiesas spriedumu, kas stājies spēkā un kļuvis neapstrīdams un nepārsūdzams, gala labuma guvējs ir atzīts par vainīgu un sodīts par pārkāpumu, kas izpaužas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lēmumus var apstrīdēt administratīvajā procesā, nevis administratīvā pārkāpuma procesā un kriminālprocesā, lūdzam svītrot projekta 22., 23. un 24. punktā vārdus "neapstrīdams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21.03.2024.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21.03.2024.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