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precizēt informāciju par projekta spēkā stāšanos, jo tas stāsies spēkā 2025. gada 1. janvārī, nevis vispārējā kārtībā.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20.06.2024.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20.06.2024.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