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laika grafiks 2025/2026)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 uzturēšanas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6.2.apakšpunktam,  lai nodrošinātu ilgtspējīgu izstrādāto vispārējo nosūtījumu funkcionalitāti E-veselības sistēmā, ikgadējās uzturēšanas izmaksas paredzēts 2025.gadā segt no valsts budžeta programmas 01.00.00 "Apropriācijas rezerves" un 2026.gadā un turpmāk ik gadu paredzēts iekļaut Veselības ministrijas valsts pamatbudžeta bāzē 2026.-2029.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budžeta un finanšu vadību  9.</w:t>
            </w:r>
            <w:r w:rsidR="00000000" w:rsidRPr="00000000" w:rsidDel="00000000">
              <w:rPr>
                <w:vertAlign w:val="superscript"/>
                <w:rtl w:val="0"/>
              </w:rPr>
              <w:t xml:space="preserve">1</w:t>
            </w:r>
            <w:r w:rsidR="00000000" w:rsidRPr="00000000" w:rsidDel="00000000">
              <w:rPr>
                <w:rtl w:val="0"/>
              </w:rPr>
              <w:t xml:space="preserve">pants šādam gadījumam neparedz iespēju veikt apropriācijas pārdali 2025.gadam no valsts budžeta programmas 01.00.00 "Apropriācijas rezerves", kā arī MK 2024.gada 2.aprīļa rīkojumam Nr.255 "Par finanšu līdzekļu apropriācijas pārdali no budžeta resora "74. Gadskārtējā valsts budžeta izpildes procesā pārdalāmais finansējums" 20.00.00 programmas "Veselības aprūpes pasākumu īstenošana"" pievienotās anotācijas 2.pielikumā pasākuma “Informācijas komunikācijas tehnoloģiju un vienotās veselības nozares elektroniskās informācijas sistēmas (e-veselības) uzturēšana un nepārtrauktas darbības nodrošināšana” ietvaros vispārējo nosūtījumu funkcionalitātes pilnveidei E-veselībā finansējums 798 600 euro apmērā tika paredzēts tikai 2024.gadam, neparedzot uzturēšanas izmaksas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vispārējo nosūtījumu funkcionalitātes E-veselības sistēmā ikgadējās uzturēšanas izmaksas 2025.gadam un turpmāk ik gadu nodrošināmas Veselības ministrijai piešķirto valsts budžeta līdzekļu ietvaros. Tādējādi precizējama anotācijas 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