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 xml:space="preserve">-------- </w:t>
      </w:r>
      <w:proofErr w:type="spellStart"/>
      <w:r w:rsidRPr="00BD5F72">
        <w:rPr>
          <w:rFonts w:ascii="Times New Roman" w:eastAsia="Times New Roman" w:hAnsi="Times New Roman" w:cs="Times New Roman"/>
          <w:sz w:val="24"/>
          <w:szCs w:val="24"/>
          <w:lang w:eastAsia="lv-LV"/>
        </w:rPr>
        <w:t>Forwarded</w:t>
      </w:r>
      <w:proofErr w:type="spellEnd"/>
      <w:r w:rsidRPr="00BD5F72">
        <w:rPr>
          <w:rFonts w:ascii="Times New Roman" w:eastAsia="Times New Roman" w:hAnsi="Times New Roman" w:cs="Times New Roman"/>
          <w:sz w:val="24"/>
          <w:szCs w:val="24"/>
          <w:lang w:eastAsia="lv-LV"/>
        </w:rPr>
        <w:t xml:space="preserve"> </w:t>
      </w:r>
      <w:proofErr w:type="spellStart"/>
      <w:r w:rsidRPr="00BD5F72">
        <w:rPr>
          <w:rFonts w:ascii="Times New Roman" w:eastAsia="Times New Roman" w:hAnsi="Times New Roman" w:cs="Times New Roman"/>
          <w:sz w:val="24"/>
          <w:szCs w:val="24"/>
          <w:lang w:eastAsia="lv-LV"/>
        </w:rPr>
        <w:t>Message</w:t>
      </w:r>
      <w:proofErr w:type="spellEnd"/>
      <w:r w:rsidRPr="00BD5F72">
        <w:rPr>
          <w:rFonts w:ascii="Times New Roman" w:eastAsia="Times New Roman" w:hAnsi="Times New Roman" w:cs="Times New Roman"/>
          <w:sz w:val="24"/>
          <w:szCs w:val="24"/>
          <w:lang w:eastAsia="lv-LV"/>
        </w:rPr>
        <w:t xml:space="preserve"> --------</w:t>
      </w:r>
    </w:p>
    <w:tbl>
      <w:tblPr>
        <w:tblW w:w="0" w:type="auto"/>
        <w:tblCellSpacing w:w="0" w:type="dxa"/>
        <w:tblCellMar>
          <w:left w:w="0" w:type="dxa"/>
          <w:right w:w="0" w:type="dxa"/>
        </w:tblCellMar>
        <w:tblLook w:val="04A0" w:firstRow="1" w:lastRow="0" w:firstColumn="1" w:lastColumn="0" w:noHBand="0" w:noVBand="1"/>
      </w:tblPr>
      <w:tblGrid>
        <w:gridCol w:w="854"/>
        <w:gridCol w:w="7452"/>
      </w:tblGrid>
      <w:tr w:rsidR="00BD5F72" w:rsidRPr="00BD5F72" w:rsidTr="00BD5F72">
        <w:trPr>
          <w:tblCellSpacing w:w="0" w:type="dxa"/>
        </w:trPr>
        <w:tc>
          <w:tcPr>
            <w:tcW w:w="0" w:type="auto"/>
            <w:noWrap/>
            <w:hideMark/>
          </w:tcPr>
          <w:p w:rsidR="00BD5F72" w:rsidRPr="00BD5F72" w:rsidRDefault="00BD5F72" w:rsidP="00BD5F72">
            <w:pPr>
              <w:spacing w:after="0" w:line="240" w:lineRule="auto"/>
              <w:rPr>
                <w:rFonts w:ascii="Times New Roman" w:eastAsia="Times New Roman" w:hAnsi="Times New Roman" w:cs="Times New Roman"/>
                <w:b/>
                <w:bCs/>
                <w:sz w:val="24"/>
                <w:szCs w:val="24"/>
                <w:lang w:eastAsia="lv-LV"/>
              </w:rPr>
            </w:pPr>
            <w:proofErr w:type="spellStart"/>
            <w:r w:rsidRPr="00BD5F72">
              <w:rPr>
                <w:rFonts w:ascii="Times New Roman" w:eastAsia="Times New Roman" w:hAnsi="Times New Roman" w:cs="Times New Roman"/>
                <w:b/>
                <w:bCs/>
                <w:sz w:val="24"/>
                <w:szCs w:val="24"/>
                <w:lang w:eastAsia="lv-LV"/>
              </w:rPr>
              <w:t>Subject</w:t>
            </w:r>
            <w:proofErr w:type="spellEnd"/>
            <w:r w:rsidRPr="00BD5F72">
              <w:rPr>
                <w:rFonts w:ascii="Times New Roman" w:eastAsia="Times New Roman" w:hAnsi="Times New Roman" w:cs="Times New Roman"/>
                <w:b/>
                <w:bCs/>
                <w:sz w:val="24"/>
                <w:szCs w:val="24"/>
                <w:lang w:eastAsia="lv-LV"/>
              </w:rPr>
              <w:t xml:space="preserve">: </w:t>
            </w:r>
          </w:p>
        </w:tc>
        <w:tc>
          <w:tcPr>
            <w:tcW w:w="0" w:type="auto"/>
            <w:vAlign w:val="center"/>
            <w:hideMark/>
          </w:tcPr>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redakcijas Imigrācijas likumam</w:t>
            </w:r>
          </w:p>
        </w:tc>
      </w:tr>
      <w:tr w:rsidR="00BD5F72" w:rsidRPr="00BD5F72" w:rsidTr="00BD5F72">
        <w:trPr>
          <w:tblCellSpacing w:w="0" w:type="dxa"/>
        </w:trPr>
        <w:tc>
          <w:tcPr>
            <w:tcW w:w="0" w:type="auto"/>
            <w:noWrap/>
            <w:hideMark/>
          </w:tcPr>
          <w:p w:rsidR="00BD5F72" w:rsidRPr="00BD5F72" w:rsidRDefault="00BD5F72" w:rsidP="00BD5F72">
            <w:pPr>
              <w:spacing w:after="0" w:line="240" w:lineRule="auto"/>
              <w:rPr>
                <w:rFonts w:ascii="Times New Roman" w:eastAsia="Times New Roman" w:hAnsi="Times New Roman" w:cs="Times New Roman"/>
                <w:b/>
                <w:bCs/>
                <w:sz w:val="24"/>
                <w:szCs w:val="24"/>
                <w:lang w:eastAsia="lv-LV"/>
              </w:rPr>
            </w:pPr>
            <w:proofErr w:type="spellStart"/>
            <w:r w:rsidRPr="00BD5F72">
              <w:rPr>
                <w:rFonts w:ascii="Times New Roman" w:eastAsia="Times New Roman" w:hAnsi="Times New Roman" w:cs="Times New Roman"/>
                <w:b/>
                <w:bCs/>
                <w:sz w:val="24"/>
                <w:szCs w:val="24"/>
                <w:lang w:eastAsia="lv-LV"/>
              </w:rPr>
              <w:t>Date</w:t>
            </w:r>
            <w:proofErr w:type="spellEnd"/>
            <w:r w:rsidRPr="00BD5F72">
              <w:rPr>
                <w:rFonts w:ascii="Times New Roman" w:eastAsia="Times New Roman" w:hAnsi="Times New Roman" w:cs="Times New Roman"/>
                <w:b/>
                <w:bCs/>
                <w:sz w:val="24"/>
                <w:szCs w:val="24"/>
                <w:lang w:eastAsia="lv-LV"/>
              </w:rPr>
              <w:t xml:space="preserve">: </w:t>
            </w:r>
          </w:p>
        </w:tc>
        <w:tc>
          <w:tcPr>
            <w:tcW w:w="0" w:type="auto"/>
            <w:vAlign w:val="center"/>
            <w:hideMark/>
          </w:tcPr>
          <w:p w:rsidR="00BD5F72" w:rsidRPr="00BD5F72" w:rsidRDefault="00BD5F72" w:rsidP="00BD5F72">
            <w:pPr>
              <w:spacing w:after="0" w:line="240" w:lineRule="auto"/>
              <w:rPr>
                <w:rFonts w:ascii="Times New Roman" w:eastAsia="Times New Roman" w:hAnsi="Times New Roman" w:cs="Times New Roman"/>
                <w:sz w:val="24"/>
                <w:szCs w:val="24"/>
                <w:lang w:eastAsia="lv-LV"/>
              </w:rPr>
            </w:pPr>
            <w:proofErr w:type="spellStart"/>
            <w:r w:rsidRPr="00BD5F72">
              <w:rPr>
                <w:rFonts w:ascii="Times New Roman" w:eastAsia="Times New Roman" w:hAnsi="Times New Roman" w:cs="Times New Roman"/>
                <w:sz w:val="24"/>
                <w:szCs w:val="24"/>
                <w:lang w:eastAsia="lv-LV"/>
              </w:rPr>
              <w:t>Tue</w:t>
            </w:r>
            <w:proofErr w:type="spellEnd"/>
            <w:r w:rsidRPr="00BD5F72">
              <w:rPr>
                <w:rFonts w:ascii="Times New Roman" w:eastAsia="Times New Roman" w:hAnsi="Times New Roman" w:cs="Times New Roman"/>
                <w:sz w:val="24"/>
                <w:szCs w:val="24"/>
                <w:lang w:eastAsia="lv-LV"/>
              </w:rPr>
              <w:t xml:space="preserve">, 26 </w:t>
            </w:r>
            <w:proofErr w:type="spellStart"/>
            <w:r w:rsidRPr="00BD5F72">
              <w:rPr>
                <w:rFonts w:ascii="Times New Roman" w:eastAsia="Times New Roman" w:hAnsi="Times New Roman" w:cs="Times New Roman"/>
                <w:sz w:val="24"/>
                <w:szCs w:val="24"/>
                <w:lang w:eastAsia="lv-LV"/>
              </w:rPr>
              <w:t>Jan</w:t>
            </w:r>
            <w:proofErr w:type="spellEnd"/>
            <w:r w:rsidRPr="00BD5F72">
              <w:rPr>
                <w:rFonts w:ascii="Times New Roman" w:eastAsia="Times New Roman" w:hAnsi="Times New Roman" w:cs="Times New Roman"/>
                <w:sz w:val="24"/>
                <w:szCs w:val="24"/>
                <w:lang w:eastAsia="lv-LV"/>
              </w:rPr>
              <w:t xml:space="preserve"> 2021 13:37:44 +0000</w:t>
            </w:r>
          </w:p>
        </w:tc>
      </w:tr>
      <w:tr w:rsidR="00BD5F72" w:rsidRPr="00BD5F72" w:rsidTr="00BD5F72">
        <w:trPr>
          <w:tblCellSpacing w:w="0" w:type="dxa"/>
        </w:trPr>
        <w:tc>
          <w:tcPr>
            <w:tcW w:w="0" w:type="auto"/>
            <w:noWrap/>
            <w:hideMark/>
          </w:tcPr>
          <w:p w:rsidR="00BD5F72" w:rsidRPr="00BD5F72" w:rsidRDefault="00BD5F72" w:rsidP="00BD5F72">
            <w:pPr>
              <w:spacing w:after="0" w:line="240" w:lineRule="auto"/>
              <w:rPr>
                <w:rFonts w:ascii="Times New Roman" w:eastAsia="Times New Roman" w:hAnsi="Times New Roman" w:cs="Times New Roman"/>
                <w:b/>
                <w:bCs/>
                <w:sz w:val="24"/>
                <w:szCs w:val="24"/>
                <w:lang w:eastAsia="lv-LV"/>
              </w:rPr>
            </w:pPr>
            <w:proofErr w:type="spellStart"/>
            <w:r w:rsidRPr="00BD5F72">
              <w:rPr>
                <w:rFonts w:ascii="Times New Roman" w:eastAsia="Times New Roman" w:hAnsi="Times New Roman" w:cs="Times New Roman"/>
                <w:b/>
                <w:bCs/>
                <w:sz w:val="24"/>
                <w:szCs w:val="24"/>
                <w:lang w:eastAsia="lv-LV"/>
              </w:rPr>
              <w:t>From</w:t>
            </w:r>
            <w:proofErr w:type="spellEnd"/>
            <w:r w:rsidRPr="00BD5F72">
              <w:rPr>
                <w:rFonts w:ascii="Times New Roman" w:eastAsia="Times New Roman" w:hAnsi="Times New Roman" w:cs="Times New Roman"/>
                <w:b/>
                <w:bCs/>
                <w:sz w:val="24"/>
                <w:szCs w:val="24"/>
                <w:lang w:eastAsia="lv-LV"/>
              </w:rPr>
              <w:t xml:space="preserve">: </w:t>
            </w:r>
          </w:p>
        </w:tc>
        <w:tc>
          <w:tcPr>
            <w:tcW w:w="0" w:type="auto"/>
            <w:vAlign w:val="center"/>
            <w:hideMark/>
          </w:tcPr>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 xml:space="preserve">Dagnija </w:t>
            </w:r>
            <w:proofErr w:type="spellStart"/>
            <w:r w:rsidRPr="00BD5F72">
              <w:rPr>
                <w:rFonts w:ascii="Times New Roman" w:eastAsia="Times New Roman" w:hAnsi="Times New Roman" w:cs="Times New Roman"/>
                <w:sz w:val="24"/>
                <w:szCs w:val="24"/>
                <w:lang w:eastAsia="lv-LV"/>
              </w:rPr>
              <w:t>Lace-Ate</w:t>
            </w:r>
            <w:proofErr w:type="spellEnd"/>
            <w:r w:rsidRPr="00BD5F72">
              <w:rPr>
                <w:rFonts w:ascii="Times New Roman" w:eastAsia="Times New Roman" w:hAnsi="Times New Roman" w:cs="Times New Roman"/>
                <w:sz w:val="24"/>
                <w:szCs w:val="24"/>
                <w:lang w:eastAsia="lv-LV"/>
              </w:rPr>
              <w:t xml:space="preserve"> &lt;dagnija.lace-ate@mfa.gov.lv&gt;</w:t>
            </w:r>
          </w:p>
        </w:tc>
      </w:tr>
      <w:tr w:rsidR="00BD5F72" w:rsidRPr="00BD5F72" w:rsidTr="00BD5F72">
        <w:trPr>
          <w:tblCellSpacing w:w="0" w:type="dxa"/>
        </w:trPr>
        <w:tc>
          <w:tcPr>
            <w:tcW w:w="0" w:type="auto"/>
            <w:noWrap/>
            <w:hideMark/>
          </w:tcPr>
          <w:p w:rsidR="00BD5F72" w:rsidRPr="00BD5F72" w:rsidRDefault="00BD5F72" w:rsidP="00BD5F72">
            <w:pPr>
              <w:spacing w:after="0" w:line="240" w:lineRule="auto"/>
              <w:rPr>
                <w:rFonts w:ascii="Times New Roman" w:eastAsia="Times New Roman" w:hAnsi="Times New Roman" w:cs="Times New Roman"/>
                <w:b/>
                <w:bCs/>
                <w:sz w:val="24"/>
                <w:szCs w:val="24"/>
                <w:lang w:eastAsia="lv-LV"/>
              </w:rPr>
            </w:pPr>
            <w:r w:rsidRPr="00BD5F72">
              <w:rPr>
                <w:rFonts w:ascii="Times New Roman" w:eastAsia="Times New Roman" w:hAnsi="Times New Roman" w:cs="Times New Roman"/>
                <w:b/>
                <w:bCs/>
                <w:sz w:val="24"/>
                <w:szCs w:val="24"/>
                <w:lang w:eastAsia="lv-LV"/>
              </w:rPr>
              <w:t xml:space="preserve">To: </w:t>
            </w:r>
          </w:p>
        </w:tc>
        <w:tc>
          <w:tcPr>
            <w:tcW w:w="0" w:type="auto"/>
            <w:vAlign w:val="center"/>
            <w:hideMark/>
          </w:tcPr>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Ilze Briede &lt;ilze.briede@pmlp.gov.lv&gt;</w:t>
            </w:r>
          </w:p>
        </w:tc>
      </w:tr>
      <w:tr w:rsidR="00BD5F72" w:rsidRPr="00BD5F72" w:rsidTr="00BD5F72">
        <w:trPr>
          <w:tblCellSpacing w:w="0" w:type="dxa"/>
        </w:trPr>
        <w:tc>
          <w:tcPr>
            <w:tcW w:w="0" w:type="auto"/>
            <w:noWrap/>
            <w:hideMark/>
          </w:tcPr>
          <w:p w:rsidR="00BD5F72" w:rsidRPr="00BD5F72" w:rsidRDefault="00BD5F72" w:rsidP="00BD5F72">
            <w:pPr>
              <w:spacing w:after="0" w:line="240" w:lineRule="auto"/>
              <w:rPr>
                <w:rFonts w:ascii="Times New Roman" w:eastAsia="Times New Roman" w:hAnsi="Times New Roman" w:cs="Times New Roman"/>
                <w:b/>
                <w:bCs/>
                <w:sz w:val="24"/>
                <w:szCs w:val="24"/>
                <w:lang w:eastAsia="lv-LV"/>
              </w:rPr>
            </w:pPr>
            <w:r w:rsidRPr="00BD5F72">
              <w:rPr>
                <w:rFonts w:ascii="Times New Roman" w:eastAsia="Times New Roman" w:hAnsi="Times New Roman" w:cs="Times New Roman"/>
                <w:b/>
                <w:bCs/>
                <w:sz w:val="24"/>
                <w:szCs w:val="24"/>
                <w:lang w:eastAsia="lv-LV"/>
              </w:rPr>
              <w:t xml:space="preserve">CC: </w:t>
            </w:r>
          </w:p>
        </w:tc>
        <w:tc>
          <w:tcPr>
            <w:tcW w:w="0" w:type="auto"/>
            <w:vAlign w:val="center"/>
            <w:hideMark/>
          </w:tcPr>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 xml:space="preserve">Annija Roga &lt;Annija.Roga@mfa.gov.lv&gt;, Solveiga </w:t>
            </w:r>
            <w:proofErr w:type="spellStart"/>
            <w:r w:rsidRPr="00BD5F72">
              <w:rPr>
                <w:rFonts w:ascii="Times New Roman" w:eastAsia="Times New Roman" w:hAnsi="Times New Roman" w:cs="Times New Roman"/>
                <w:sz w:val="24"/>
                <w:szCs w:val="24"/>
                <w:lang w:eastAsia="lv-LV"/>
              </w:rPr>
              <w:t>Latkovska</w:t>
            </w:r>
            <w:proofErr w:type="spellEnd"/>
            <w:r w:rsidRPr="00BD5F72">
              <w:rPr>
                <w:rFonts w:ascii="Times New Roman" w:eastAsia="Times New Roman" w:hAnsi="Times New Roman" w:cs="Times New Roman"/>
                <w:sz w:val="24"/>
                <w:szCs w:val="24"/>
                <w:lang w:eastAsia="lv-LV"/>
              </w:rPr>
              <w:t xml:space="preserve"> &lt;solveiga.latkovska@mfa.gov.lv&gt;, Inese.Sticere@rs.gov.lv &lt;Inese.Sticere@rs.gov.lv&gt;</w:t>
            </w:r>
          </w:p>
        </w:tc>
      </w:tr>
    </w:tbl>
    <w:p w:rsidR="00BD5F72" w:rsidRDefault="00BD5F72" w:rsidP="00A2373B">
      <w:pPr>
        <w:widowControl w:val="0"/>
        <w:suppressAutoHyphens/>
        <w:spacing w:after="0" w:line="240" w:lineRule="auto"/>
        <w:jc w:val="center"/>
        <w:rPr>
          <w:rFonts w:ascii="Times New Roman" w:eastAsia="Arial" w:hAnsi="Times New Roman" w:cs="Times New Roman"/>
          <w:b/>
          <w:kern w:val="1"/>
          <w:sz w:val="24"/>
          <w:szCs w:val="24"/>
          <w:lang w:eastAsia="lv-LV"/>
        </w:rPr>
      </w:pPr>
    </w:p>
    <w:p w:rsidR="00A2373B" w:rsidRDefault="00A2373B" w:rsidP="00BD5F72">
      <w:pPr>
        <w:widowControl w:val="0"/>
        <w:suppressAutoHyphens/>
        <w:spacing w:after="0" w:line="240" w:lineRule="auto"/>
        <w:rPr>
          <w:rFonts w:ascii="Times New Roman" w:eastAsia="Arial" w:hAnsi="Times New Roman" w:cs="Times New Roman"/>
          <w:b/>
          <w:kern w:val="1"/>
          <w:sz w:val="24"/>
          <w:szCs w:val="24"/>
          <w:lang w:eastAsia="lv-LV"/>
        </w:rPr>
      </w:pPr>
      <w:r w:rsidRPr="00A2373B">
        <w:rPr>
          <w:rFonts w:ascii="Times New Roman" w:eastAsia="Arial" w:hAnsi="Times New Roman" w:cs="Times New Roman"/>
          <w:b/>
          <w:kern w:val="1"/>
          <w:sz w:val="24"/>
          <w:szCs w:val="24"/>
          <w:lang w:eastAsia="lv-LV"/>
        </w:rPr>
        <w:t>Par likumprojektu</w:t>
      </w:r>
      <w:r w:rsidR="00BD5F72">
        <w:rPr>
          <w:rFonts w:ascii="Times New Roman" w:eastAsia="Arial" w:hAnsi="Times New Roman" w:cs="Times New Roman"/>
          <w:b/>
          <w:kern w:val="1"/>
          <w:sz w:val="24"/>
          <w:szCs w:val="24"/>
          <w:lang w:eastAsia="lv-LV"/>
        </w:rPr>
        <w:t xml:space="preserve"> </w:t>
      </w:r>
      <w:r w:rsidRPr="00A2373B">
        <w:rPr>
          <w:rFonts w:ascii="Times New Roman" w:eastAsia="Arial" w:hAnsi="Times New Roman" w:cs="Times New Roman"/>
          <w:b/>
          <w:kern w:val="1"/>
          <w:sz w:val="24"/>
          <w:szCs w:val="24"/>
          <w:lang w:eastAsia="lv-LV"/>
        </w:rPr>
        <w:t>“Imigrācijas likums” (VSS-545)</w:t>
      </w:r>
    </w:p>
    <w:p w:rsidR="00A2373B" w:rsidRPr="00A2373B" w:rsidRDefault="00A2373B" w:rsidP="00A2373B">
      <w:pPr>
        <w:widowControl w:val="0"/>
        <w:suppressAutoHyphens/>
        <w:spacing w:after="0" w:line="240" w:lineRule="auto"/>
        <w:jc w:val="center"/>
        <w:rPr>
          <w:rFonts w:ascii="Times New Roman" w:eastAsia="Arial" w:hAnsi="Times New Roman" w:cs="Times New Roman"/>
          <w:b/>
          <w:kern w:val="1"/>
          <w:sz w:val="24"/>
          <w:szCs w:val="24"/>
          <w:lang w:eastAsia="lv-LV"/>
        </w:rPr>
      </w:pPr>
    </w:p>
    <w:p w:rsidR="00A2373B" w:rsidRDefault="00A2373B" w:rsidP="00A2373B">
      <w:pPr>
        <w:widowControl w:val="0"/>
        <w:suppressAutoHyphens/>
        <w:spacing w:after="0" w:line="240" w:lineRule="auto"/>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Atsaucoties uz Ārlietu ministrijas 15.01.2021. atzinumu Nr. 43-736, kā arī uz Tieslietu ministrijas 15.01.2021. elektronisko saskaņojumu par Iekšlietu ministrijas sagatavoto likumprojektu “Imigrācijas likums” (turpmāk – likumprojekts) un tā sākotnējās ietekmes novērtēšanas ziņojumu (anotāciju), Ārlietu ministrija informē, ka neuztur 15.01.2021. atzinumā Nr. 43-736 izteiktos iebildumus.</w:t>
      </w:r>
    </w:p>
    <w:p w:rsidR="00A2373B" w:rsidRPr="00A2373B" w:rsidRDefault="00A2373B" w:rsidP="00A2373B">
      <w:pPr>
        <w:widowControl w:val="0"/>
        <w:suppressAutoHyphens/>
        <w:spacing w:after="0" w:line="240" w:lineRule="auto"/>
        <w:jc w:val="both"/>
        <w:rPr>
          <w:rFonts w:ascii="Times New Roman" w:eastAsia="Arial" w:hAnsi="Times New Roman" w:cs="Times New Roman"/>
          <w:kern w:val="1"/>
          <w:sz w:val="24"/>
          <w:szCs w:val="24"/>
          <w:lang w:eastAsia="lv-LV"/>
        </w:rPr>
      </w:pPr>
    </w:p>
    <w:p w:rsidR="00A2373B" w:rsidRPr="00A2373B" w:rsidRDefault="00A2373B" w:rsidP="00A2373B">
      <w:pPr>
        <w:widowControl w:val="0"/>
        <w:suppressAutoHyphens/>
        <w:spacing w:after="0" w:line="240" w:lineRule="auto"/>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 xml:space="preserve">Vienlaikus Ārlietu ministrija izsaka šādus iebildumus. </w:t>
      </w:r>
    </w:p>
    <w:p w:rsidR="00A2373B" w:rsidRPr="00A2373B" w:rsidRDefault="00A2373B" w:rsidP="00A2373B">
      <w:pPr>
        <w:pStyle w:val="ListParagraph"/>
        <w:widowControl w:val="0"/>
        <w:numPr>
          <w:ilvl w:val="0"/>
          <w:numId w:val="1"/>
        </w:numPr>
        <w:suppressAutoHyphens/>
        <w:spacing w:after="0" w:line="240" w:lineRule="auto"/>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Aicinām no likumprojekta 12. panta svītrot palīgteikumu “</w:t>
      </w:r>
      <w:r w:rsidRPr="00A2373B">
        <w:rPr>
          <w:rFonts w:ascii="Times New Roman" w:eastAsia="Arial" w:hAnsi="Times New Roman" w:cs="Times New Roman"/>
          <w:i/>
          <w:kern w:val="1"/>
          <w:sz w:val="24"/>
          <w:szCs w:val="24"/>
          <w:lang w:eastAsia="lv-LV"/>
        </w:rPr>
        <w:t>kā arī par vīzas atteikuma apstrīdēšanu</w:t>
      </w:r>
      <w:r w:rsidRPr="00A2373B">
        <w:rPr>
          <w:rFonts w:ascii="Times New Roman" w:eastAsia="Arial" w:hAnsi="Times New Roman" w:cs="Times New Roman"/>
          <w:kern w:val="1"/>
          <w:sz w:val="24"/>
          <w:szCs w:val="24"/>
          <w:lang w:eastAsia="lv-LV"/>
        </w:rPr>
        <w:t>”.</w:t>
      </w:r>
    </w:p>
    <w:p w:rsidR="00A2373B" w:rsidRPr="00A2373B" w:rsidRDefault="00A2373B" w:rsidP="00A2373B">
      <w:pPr>
        <w:pStyle w:val="ListParagraph"/>
        <w:widowControl w:val="0"/>
        <w:suppressAutoHyphens/>
        <w:spacing w:after="0" w:line="240" w:lineRule="auto"/>
        <w:jc w:val="both"/>
        <w:rPr>
          <w:rFonts w:ascii="Times New Roman" w:eastAsia="Arial" w:hAnsi="Times New Roman" w:cs="Times New Roman"/>
          <w:kern w:val="1"/>
          <w:sz w:val="24"/>
          <w:szCs w:val="24"/>
          <w:lang w:eastAsia="lv-LV"/>
        </w:rPr>
      </w:pPr>
    </w:p>
    <w:p w:rsidR="00A2373B" w:rsidRPr="00A2373B" w:rsidRDefault="00A2373B" w:rsidP="00A2373B">
      <w:pPr>
        <w:pStyle w:val="ListParagraph"/>
        <w:widowControl w:val="0"/>
        <w:numPr>
          <w:ilvl w:val="0"/>
          <w:numId w:val="1"/>
        </w:numPr>
        <w:suppressAutoHyphens/>
        <w:spacing w:after="0" w:line="240" w:lineRule="auto"/>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Aicinām likumprojekta 22. panta ceturto daļu izteikt šādā redakcijā “</w:t>
      </w:r>
      <w:r w:rsidRPr="00A2373B">
        <w:rPr>
          <w:rFonts w:ascii="Times New Roman" w:eastAsia="Arial" w:hAnsi="Times New Roman" w:cs="Times New Roman"/>
          <w:i/>
          <w:kern w:val="1"/>
          <w:sz w:val="24"/>
          <w:szCs w:val="24"/>
          <w:lang w:eastAsia="lv-LV"/>
        </w:rPr>
        <w:t>Apstrīdot lēmumu par vīzas vai vīzas pagarinājuma atteikumu, vīzas anulēšanu vai atcelšanu atbilstoši šā panta trešās daļas 1., 2. vai 4. punktam, ārzemnieks maksā depozītu. Ministru kabinets nosaka depozīta apmēru, samaksas un atmaksas kārtību, kā arī atbrīvojumus no depozīta samaksas.</w:t>
      </w:r>
      <w:r w:rsidRPr="00A2373B">
        <w:rPr>
          <w:rFonts w:ascii="Times New Roman" w:eastAsia="Arial" w:hAnsi="Times New Roman" w:cs="Times New Roman"/>
          <w:kern w:val="1"/>
          <w:sz w:val="24"/>
          <w:szCs w:val="24"/>
          <w:lang w:eastAsia="lv-LV"/>
        </w:rPr>
        <w:t xml:space="preserve">” </w:t>
      </w:r>
    </w:p>
    <w:p w:rsidR="00A2373B" w:rsidRPr="00A2373B" w:rsidRDefault="00A2373B" w:rsidP="00A2373B">
      <w:pPr>
        <w:widowControl w:val="0"/>
        <w:suppressAutoHyphens/>
        <w:spacing w:after="0" w:line="240" w:lineRule="auto"/>
        <w:jc w:val="both"/>
        <w:rPr>
          <w:rFonts w:ascii="Times New Roman" w:eastAsia="Arial" w:hAnsi="Times New Roman" w:cs="Times New Roman"/>
          <w:kern w:val="1"/>
          <w:sz w:val="24"/>
          <w:szCs w:val="24"/>
          <w:lang w:eastAsia="lv-LV"/>
        </w:rPr>
      </w:pPr>
    </w:p>
    <w:p w:rsidR="00A2373B" w:rsidRPr="00A2373B" w:rsidRDefault="00A2373B" w:rsidP="00A2373B">
      <w:pPr>
        <w:pStyle w:val="ListParagraph"/>
        <w:widowControl w:val="0"/>
        <w:numPr>
          <w:ilvl w:val="0"/>
          <w:numId w:val="1"/>
        </w:numPr>
        <w:suppressAutoHyphens/>
        <w:spacing w:after="0" w:line="240" w:lineRule="auto"/>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 xml:space="preserve">Aicinām likumprojekta anotācijas I sadaļas 2. punkta 15. apakšpunktā iekļaut pamatojumu par depozīta samaksas nepieciešamību un atbilstību Satversmes 92. pantam. </w:t>
      </w:r>
    </w:p>
    <w:p w:rsidR="00A2373B" w:rsidRPr="00A2373B" w:rsidRDefault="00A2373B" w:rsidP="00A2373B">
      <w:pPr>
        <w:widowControl w:val="0"/>
        <w:suppressAutoHyphens/>
        <w:spacing w:after="0" w:line="240" w:lineRule="auto"/>
        <w:jc w:val="both"/>
        <w:rPr>
          <w:rFonts w:ascii="Times New Roman" w:eastAsia="Arial" w:hAnsi="Times New Roman" w:cs="Times New Roman"/>
          <w:kern w:val="1"/>
          <w:sz w:val="24"/>
          <w:szCs w:val="24"/>
          <w:lang w:eastAsia="lv-LV"/>
        </w:rPr>
      </w:pPr>
    </w:p>
    <w:p w:rsidR="00A2373B" w:rsidRPr="00A2373B" w:rsidRDefault="00A2373B" w:rsidP="00A2373B">
      <w:pPr>
        <w:widowControl w:val="0"/>
        <w:suppressAutoHyphens/>
        <w:spacing w:after="0" w:line="240" w:lineRule="auto"/>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 xml:space="preserve">“Depozīta maksājuma ieviešanas mērķis ir personu darbību regulēšana, novēršot nepamatotu lēmumu par vīzas vai vīzas pagarinājuma atteikumu, vīzas anulēšanu vai atcelšanu apstrīdēšanu (turpmāk – lēmuma apstrīdēšana). Regulēt personu uzvedību var būt nepieciešams konkrētos apstākļos attiecībā uz noteiktām viņu darbībām, kas uzrāda nepieciešamību pēc personu rīcības korekcijas. Ņemot vērā to, ka depozīta maksājums tiek ieviests vīzas pieteikuma izskatīšanas administratīvajā procesā tās lēmuma apstrīdēšanas stadijā, ir jāsniedz pamatojums tam, ka tieši konkrētā situācijā personu uzvedību ir nepieciešams koriģēt. Attiecībā uz depozīta maksājuma noteikšanu par lēmumu apstrīdēšanu augstākā iestādē secināms, ka šajā administratīvā procesa posmā depozīta maksājums nosakāms, ja pastāv īpaši apstākļi, kuru dēļ ir nepieciešams koriģēt personu uzvedību, un vienīgais efektīvais un vienlaikus – iespējami saudzīgais līdzeklis ir depozīta maksājuma noteikšana. </w:t>
      </w: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 xml:space="preserve">Attiecībā uz īpašajiem apstākļiem norādāms, ka minētie lēmumu apstrīdēšanas iesniegumi ir nepamatoti 95% lietu, un nav veidu, kā citādi koriģēt ārzemnieku uzvedību, jo viņi atrodas ārvalstīs. Saskaņā ar starptautisko tiesību pamatprincipiem un ievērojot citu pasaules valstu teritoriālo suverenitāti, Latvija nevar realizēt savu suverēno varu ārvalstīs, un tādējādi faktiski nepastāv citi tiesiski līdzekļi, kā ietekmēt personu rīcību, kā vien noteikt attiecīgus maksājumus. Iestāde Latvijā, lai koriģētu </w:t>
      </w:r>
      <w:bookmarkStart w:id="0" w:name="_GoBack"/>
      <w:bookmarkEnd w:id="0"/>
      <w:r w:rsidRPr="00A2373B">
        <w:rPr>
          <w:rFonts w:ascii="Times New Roman" w:eastAsia="Arial" w:hAnsi="Times New Roman" w:cs="Times New Roman"/>
          <w:kern w:val="1"/>
          <w:sz w:val="24"/>
          <w:szCs w:val="24"/>
          <w:lang w:eastAsia="lv-LV"/>
        </w:rPr>
        <w:t xml:space="preserve">personu uzvedību kādā valsts pārvaldes jomā, var apsvērt noteikt augstāku sākotnējo </w:t>
      </w:r>
      <w:r w:rsidRPr="00A2373B">
        <w:rPr>
          <w:rFonts w:ascii="Times New Roman" w:eastAsia="Arial" w:hAnsi="Times New Roman" w:cs="Times New Roman"/>
          <w:kern w:val="1"/>
          <w:sz w:val="24"/>
          <w:szCs w:val="24"/>
          <w:lang w:eastAsia="lv-LV"/>
        </w:rPr>
        <w:lastRenderedPageBreak/>
        <w:t>valsts nodevas likmi. Bet attiecībā uz vīzu pieteikumu izskatīšanu tas nav iespējams, jo nodeva par īstermiņa vīzas pieteikuma izskatīšanu ir noteikta Eiropas Savienības līmenī</w:t>
      </w:r>
      <w:r w:rsidRPr="00A2373B">
        <w:rPr>
          <w:rFonts w:ascii="Times New Roman" w:eastAsia="Arial" w:hAnsi="Times New Roman" w:cs="Times New Roman"/>
          <w:kern w:val="1"/>
          <w:sz w:val="24"/>
          <w:szCs w:val="24"/>
          <w:vertAlign w:val="superscript"/>
          <w:lang w:val="en" w:eastAsia="lv-LV"/>
        </w:rPr>
        <w:footnoteReference w:id="1"/>
      </w:r>
      <w:r w:rsidRPr="00A2373B">
        <w:rPr>
          <w:rFonts w:ascii="Times New Roman" w:eastAsia="Arial" w:hAnsi="Times New Roman" w:cs="Times New Roman"/>
          <w:kern w:val="1"/>
          <w:sz w:val="24"/>
          <w:szCs w:val="24"/>
          <w:lang w:eastAsia="lv-LV"/>
        </w:rPr>
        <w:t xml:space="preserve">, savukārt valsts nodevas apmērs par ilgtermiņa vīzu, kas ir valsts nacionālajā kompetencē, tiek pieskaņots īstermiņa vīzas nodevai, lai neveidotos disharmonija vīzu sistēmā un personas nesniegtu pieteikumus  noteiktas vīzas saņemšanai tikai tāpēc, ka tā ir lētāka. Depozīta maksājums tiek noteikts tikai par lēmuma apstrīdēšanu Konsulārā departamenta direktoram, ārlietu ministram un Valsts robežsardzes priekšniekam, ņemot vērā to, ka gadījumos, kuros lēmums var tikt apstrīdēts Pilsonības un migrācijas lietu pārvaldes priekšniekam, persona jau atrodas Latvijā. Ņemot vērā to, ka Latvija var realizēt savu suverēno varu attiecībā uz personām, kuras atrodas Latvijas teritorijā, netiek noteikts depozīta maksājums par lēmuma apstrīdēšanu Pilsonības un migrācijas lietu pārvaldes priekšniekam. </w:t>
      </w:r>
      <w:r w:rsidRPr="00A2373B">
        <w:rPr>
          <w:rFonts w:ascii="Times New Roman" w:eastAsia="Arial" w:hAnsi="Times New Roman" w:cs="Times New Roman"/>
          <w:b/>
          <w:kern w:val="1"/>
          <w:sz w:val="24"/>
          <w:szCs w:val="24"/>
          <w:lang w:eastAsia="lv-LV"/>
        </w:rPr>
        <w:t xml:space="preserve">Ņemot vērā iepriekš minēto, ir secināms, ka pastāv izņēmuma situācija, kurā ir nepieciešams veikt personu ārvalstīs uzvedības korekciju un nepastāv citi līdzekļi, kā to nodrošināt. </w:t>
      </w: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b/>
          <w:kern w:val="1"/>
          <w:sz w:val="24"/>
          <w:szCs w:val="24"/>
          <w:lang w:eastAsia="lv-LV"/>
        </w:rPr>
      </w:pPr>
      <w:r w:rsidRPr="00A2373B">
        <w:rPr>
          <w:rFonts w:ascii="Times New Roman" w:eastAsia="Arial" w:hAnsi="Times New Roman" w:cs="Times New Roman"/>
          <w:kern w:val="1"/>
          <w:sz w:val="24"/>
          <w:szCs w:val="24"/>
          <w:lang w:eastAsia="lv-LV"/>
        </w:rPr>
        <w:t xml:space="preserve">Izvērtējot nepieciešamību veikt personu uzvedības korekciju lēmumu apstrīdēšanas jomā, ir jāņem vērā tas, ka Latvijā pastāvošajam regulējumam ir jābūt saskaņotam ar pārējo Šengenas zonas dalībvalstu īstenoto politiku šajā jomā. Tas ir nepieciešams, lai novērstu ārvalstnieku izvēli iesniegt vīzas pieteikumu izskatīšanai nevis tās valsts pārstāvniecībā, kas būtu viņa ceļojuma galvenais mērķis, bet gan tajā, kurā vīzas pieteikuma izskatīšanas un negatīva lēmuma apstrīdēšanas izmaksas ir zemākas. It īpaši tas ir nozīmīgi attiecībā uz personām, kuras cenšas slēpt savus patiesos ieceļošanas Šengenas zonā mērķus un tādēļ izmanto dažādu starpnieku pakalpojumus, kuros ietilpst ne vien vīzas pieteikuma sagatavošana, bet arī negatīva lēmuma apstrīdēšana, tādējādi cenšoties izmantot katru iespēju panākt ieceļošanu Šengenas zonā. Pašlaik vairākas Šengenas zonas dalībvalstis ir noteikušas vai plāno noteikt nodevas par vīzas atteikuma, atcelšanas vai anulēšanas lēmumu apstrīdēšanu, piemēram, Beļģija - 168 eiro, Šveice - 139 eiro, Slovēnija - 153 eiro, Austrija - 110 eiro, Polija un Čehija - 60 eiro. Arī Šengenas zonas dalībvalstu vidū, kurās šobrīd nav noteikta vīzas atteikuma, atcelšanas vai anulēšanas apstrīdēšanas nodeva, bet šie negatīvie lēmumi ir pārsūdzami tiesā, Latvija izceļas - Latvijā ir noteiktas salīdzinoši nelielas nodevas administratīvās lietas turpināšanai tiesā. Piemēram, Vācijā, kur šobrīd nav noteikta vīzas lēmuma apstrīdēšanas nodeva, lēmuma pārsūdzēšanai tiesā nodeva ir 300 eiro, Portugālē – 600 eiro, kamēr Latvijā tā ir 30 eiro. Saistībā ar šo Konsulārais departaments ir novērojis, ka personas izvēlas iesniegt vienotās Šengenas vīzas pieteikumus izskatīšanai Latvijas diplomātiskajās un konsulārajās pārstāvniecībās arī gadījumos, kad Latvija nav plānotās uzturēšanās Šengenas zonā patiesais galamērķis (tātad – apzināti sniedz nepatiesu informāciju), jo vīzas atteikuma apstrīdēšanas gadījumā Latvijas iestādēs nav jāveic papildu maksājumi, kādi ir citu Šengenas zonas dalībvalstu iestādēs. Arī Lietuvā un Igaunijā iestādes lēmuma pārskatīšanai ir noteiktas nodevas – attiecīgi 30 un 20 eiro apmērā. Šo nodevu apmērs ir neliels, salīdzinot ar citu valstu noteiktajiem nodevu apmēriem. Līdz ar to Baltijas valstis ir ar augstu riska pakāpi mēģinājumiem nelegāli nokļūt uz citām Eiropas valstīm. Turklāt, no visām Baltijas valstīm, Latvijā šis risks ir visaugstākais, jo Latvijā nav noteikts maksājums par sākotnējā iestādes lēmuma atkārtotu caurskatīšanu. Tādējādi maksājuma par lēmuma apstrīdēšanu neesamība izkropļo vienotās Šengenas zonas darbību, apdraud kopējās imigrācijas politikas īstenošanu un rada nelegālās imigrācijas riskus ne vien Latvijai, bet arī citām Šengenas </w:t>
      </w:r>
      <w:r w:rsidRPr="00A2373B">
        <w:rPr>
          <w:rFonts w:ascii="Times New Roman" w:eastAsia="Arial" w:hAnsi="Times New Roman" w:cs="Times New Roman"/>
          <w:kern w:val="1"/>
          <w:sz w:val="24"/>
          <w:szCs w:val="24"/>
          <w:lang w:eastAsia="lv-LV"/>
        </w:rPr>
        <w:lastRenderedPageBreak/>
        <w:t xml:space="preserve">zonas dalībvalstīm. </w:t>
      </w:r>
      <w:r w:rsidR="00472FBB" w:rsidRPr="00472FBB">
        <w:rPr>
          <w:rFonts w:ascii="Times New Roman" w:eastAsia="Arial" w:hAnsi="Times New Roman" w:cs="Times New Roman"/>
          <w:b/>
          <w:kern w:val="1"/>
          <w:sz w:val="24"/>
          <w:szCs w:val="24"/>
          <w:lang w:eastAsia="lv-LV"/>
        </w:rPr>
        <w:t>Līdz ar to depozīta maksājuma par lēmuma apstrīdēšanu neesamība padara Latvijā noteikto kārtību par pievilcīgu mehānismu, ko ārzemnieki var izmantot, lai mēģinātu nelegāli nokļūt Eiropas Savienībā.</w:t>
      </w: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 xml:space="preserve">Nosakot depozīta maksājumu par lēmuma apstrīdēšanu, nepieciešams izvērtēt šī regulējuma atbilstību Satversmes 92. panta pirmajā teikumā ietvertajām tiesībām uz taisnīgu tiesu. Likumprojekta 22. panta ceturtajā daļā tiek ieviests depozīta maksājums par lēmuma apstrīdēšanu, kā arī iekļauts deleģējums Ministru kabinetam noteikt depozīta maksājuma apmēru, samaksas un atmaksas kārtību, kā arī atbrīvojumus no depozīta samaksas. Lēmums par vīzas atteikumu, anulēšanu vai atcelšanu var tikt apstrīdēts pie augstākas amatpersonas, kas likumprojektā noteiktajā termiņā pieņem lēmumu administratīvā akta formā. Gadījumā, ja persona nav apmierināta ar šādu lēmumu, tā var sekojoši vērsties tiesā administratīvā procesa kārtībā. Lēmuma apstrīdēšana iestādē pirms persona vēršas tiesā likumprojektā ir paredzēta kā obligāta prasība. Līdz ar to depozīta maksājuma noteikšana par šāda apstrīdēšanas iesnieguma izskatīšanu ir vērtējama personas tiesību uz taisnīgu tiesu kontekstā, jo persona var vērsties tiesā tikai tad, ja strīds iepriekš ticis risināts </w:t>
      </w:r>
      <w:proofErr w:type="spellStart"/>
      <w:r w:rsidRPr="00A2373B">
        <w:rPr>
          <w:rFonts w:ascii="Times New Roman" w:eastAsia="Arial" w:hAnsi="Times New Roman" w:cs="Times New Roman"/>
          <w:kern w:val="1"/>
          <w:sz w:val="24"/>
          <w:szCs w:val="24"/>
          <w:lang w:eastAsia="lv-LV"/>
        </w:rPr>
        <w:t>ārpustiesas</w:t>
      </w:r>
      <w:proofErr w:type="spellEnd"/>
      <w:r w:rsidRPr="00A2373B">
        <w:rPr>
          <w:rFonts w:ascii="Times New Roman" w:eastAsia="Arial" w:hAnsi="Times New Roman" w:cs="Times New Roman"/>
          <w:kern w:val="1"/>
          <w:sz w:val="24"/>
          <w:szCs w:val="24"/>
          <w:lang w:eastAsia="lv-LV"/>
        </w:rPr>
        <w:t xml:space="preserve"> kārtībā.</w:t>
      </w: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r w:rsidRPr="00A2373B">
        <w:rPr>
          <w:rFonts w:ascii="Times New Roman" w:eastAsia="Arial" w:hAnsi="Times New Roman" w:cs="Times New Roman"/>
          <w:kern w:val="1"/>
          <w:sz w:val="24"/>
          <w:szCs w:val="24"/>
          <w:lang w:eastAsia="lv-LV"/>
        </w:rPr>
        <w:t xml:space="preserve">Satversmes tiesa ir secinājusi, ka dažādu maksājumu ieviešana ierobežo </w:t>
      </w:r>
      <w:proofErr w:type="spellStart"/>
      <w:r w:rsidRPr="00A2373B">
        <w:rPr>
          <w:rFonts w:ascii="Times New Roman" w:eastAsia="Arial" w:hAnsi="Times New Roman" w:cs="Times New Roman"/>
          <w:kern w:val="1"/>
          <w:sz w:val="24"/>
          <w:szCs w:val="24"/>
          <w:lang w:eastAsia="lv-LV"/>
        </w:rPr>
        <w:t>pamattiesības</w:t>
      </w:r>
      <w:proofErr w:type="spellEnd"/>
      <w:r w:rsidRPr="00A2373B">
        <w:rPr>
          <w:rFonts w:ascii="Times New Roman" w:eastAsia="Arial" w:hAnsi="Times New Roman" w:cs="Times New Roman"/>
          <w:kern w:val="1"/>
          <w:sz w:val="24"/>
          <w:szCs w:val="24"/>
          <w:lang w:eastAsia="lv-LV"/>
        </w:rPr>
        <w:t xml:space="preserve"> uz brīvu pieeju tiesai (</w:t>
      </w:r>
      <w:r w:rsidRPr="00A2373B">
        <w:rPr>
          <w:rFonts w:ascii="Times New Roman" w:eastAsia="Arial" w:hAnsi="Times New Roman" w:cs="Times New Roman"/>
          <w:i/>
          <w:kern w:val="1"/>
          <w:sz w:val="24"/>
          <w:szCs w:val="24"/>
          <w:lang w:eastAsia="lv-LV"/>
        </w:rPr>
        <w:t>sk. Satversmes tiesas 2005. gada 4. janvāra sprieduma lietā Nr. 2004-16-01 7.2. punktu, 2006. gada 14. marta sprieduma lietā Nr. 2005-18-01 9. punktu un 2008. gada 20. novembra sprieduma lietā Nr. 2008-07-01 6. punktu</w:t>
      </w:r>
      <w:r w:rsidRPr="00A2373B">
        <w:rPr>
          <w:rFonts w:ascii="Times New Roman" w:eastAsia="Arial" w:hAnsi="Times New Roman" w:cs="Times New Roman"/>
          <w:kern w:val="1"/>
          <w:sz w:val="24"/>
          <w:szCs w:val="24"/>
          <w:lang w:eastAsia="lv-LV"/>
        </w:rPr>
        <w:t xml:space="preserve">). Lai gan Satversmes 116. pantā nav minēts Satversmes 92. pants, tomēr tas nenozīmē, ka šajā pantā noteiktajām </w:t>
      </w:r>
      <w:proofErr w:type="spellStart"/>
      <w:r w:rsidRPr="00A2373B">
        <w:rPr>
          <w:rFonts w:ascii="Times New Roman" w:eastAsia="Arial" w:hAnsi="Times New Roman" w:cs="Times New Roman"/>
          <w:kern w:val="1"/>
          <w:sz w:val="24"/>
          <w:szCs w:val="24"/>
          <w:lang w:eastAsia="lv-LV"/>
        </w:rPr>
        <w:t>pamattiesībām</w:t>
      </w:r>
      <w:proofErr w:type="spellEnd"/>
      <w:r w:rsidRPr="00A2373B">
        <w:rPr>
          <w:rFonts w:ascii="Times New Roman" w:eastAsia="Arial" w:hAnsi="Times New Roman" w:cs="Times New Roman"/>
          <w:kern w:val="1"/>
          <w:sz w:val="24"/>
          <w:szCs w:val="24"/>
          <w:lang w:eastAsia="lv-LV"/>
        </w:rPr>
        <w:t xml:space="preserve"> nevarētu noteikt nekādus ierobežojumus. Satversmes tiesa ir secinājusi, ka arī Satversmes 116. pantā neminētās </w:t>
      </w:r>
      <w:proofErr w:type="spellStart"/>
      <w:r w:rsidRPr="00A2373B">
        <w:rPr>
          <w:rFonts w:ascii="Times New Roman" w:eastAsia="Arial" w:hAnsi="Times New Roman" w:cs="Times New Roman"/>
          <w:kern w:val="1"/>
          <w:sz w:val="24"/>
          <w:szCs w:val="24"/>
          <w:lang w:eastAsia="lv-LV"/>
        </w:rPr>
        <w:t>pamattiesības</w:t>
      </w:r>
      <w:proofErr w:type="spellEnd"/>
      <w:r w:rsidRPr="00A2373B">
        <w:rPr>
          <w:rFonts w:ascii="Times New Roman" w:eastAsia="Arial" w:hAnsi="Times New Roman" w:cs="Times New Roman"/>
          <w:kern w:val="1"/>
          <w:sz w:val="24"/>
          <w:szCs w:val="24"/>
          <w:lang w:eastAsia="lv-LV"/>
        </w:rPr>
        <w:t xml:space="preserve"> var ierobežot, lai aizsargātu citas Satversmē garantētās vērtības (</w:t>
      </w:r>
      <w:r w:rsidRPr="00A2373B">
        <w:rPr>
          <w:rFonts w:ascii="Times New Roman" w:eastAsia="Arial" w:hAnsi="Times New Roman" w:cs="Times New Roman"/>
          <w:i/>
          <w:kern w:val="1"/>
          <w:sz w:val="24"/>
          <w:szCs w:val="24"/>
          <w:lang w:eastAsia="lv-LV"/>
        </w:rPr>
        <w:t>sk. Satversmes tiesas 2002. gada 22. oktobra sprieduma lietā Nr. 2002-04-03 secinājumu daļas 2. punktu</w:t>
      </w:r>
      <w:r w:rsidRPr="00A2373B">
        <w:rPr>
          <w:rFonts w:ascii="Times New Roman" w:eastAsia="Arial" w:hAnsi="Times New Roman" w:cs="Times New Roman"/>
          <w:kern w:val="1"/>
          <w:sz w:val="24"/>
          <w:szCs w:val="24"/>
          <w:lang w:eastAsia="lv-LV"/>
        </w:rPr>
        <w:t>). Satversmes tiesa jau vairākkārt norādījusi, ka tiesības uz taisnīgu tiesu ir vienas no svarīgākajām personas tiesībām, tāpēc ierobežojumi šīm personas tiesībām nosakāmi tikai pašos nepieciešamākajos gadījumos (</w:t>
      </w:r>
      <w:r w:rsidRPr="00A2373B">
        <w:rPr>
          <w:rFonts w:ascii="Times New Roman" w:eastAsia="Arial" w:hAnsi="Times New Roman" w:cs="Times New Roman"/>
          <w:i/>
          <w:kern w:val="1"/>
          <w:sz w:val="24"/>
          <w:szCs w:val="24"/>
          <w:lang w:eastAsia="lv-LV"/>
        </w:rPr>
        <w:t>sk. Satversmes tiesas 2003. gada 6. oktobra sprieduma lietā Nr. 2003-08-01 secinājumu daļas 1. punktu, 2006. gada 14. marta sprieduma lietā Nr. 2005-18-01 10. punktu un 2008. gada 20. novembra sprieduma lietā Nr. 2008-07-01 8. punktu</w:t>
      </w:r>
      <w:r w:rsidRPr="00A2373B">
        <w:rPr>
          <w:rFonts w:ascii="Times New Roman" w:eastAsia="Arial" w:hAnsi="Times New Roman" w:cs="Times New Roman"/>
          <w:kern w:val="1"/>
          <w:sz w:val="24"/>
          <w:szCs w:val="24"/>
          <w:lang w:eastAsia="lv-LV"/>
        </w:rPr>
        <w:t xml:space="preserve">). Tiesības uz brīvu pieeju tiesai, līdzīgi kā citas </w:t>
      </w:r>
      <w:proofErr w:type="spellStart"/>
      <w:r w:rsidRPr="00A2373B">
        <w:rPr>
          <w:rFonts w:ascii="Times New Roman" w:eastAsia="Arial" w:hAnsi="Times New Roman" w:cs="Times New Roman"/>
          <w:kern w:val="1"/>
          <w:sz w:val="24"/>
          <w:szCs w:val="24"/>
          <w:lang w:eastAsia="lv-LV"/>
        </w:rPr>
        <w:t>pamattiesības</w:t>
      </w:r>
      <w:proofErr w:type="spellEnd"/>
      <w:r w:rsidRPr="00A2373B">
        <w:rPr>
          <w:rFonts w:ascii="Times New Roman" w:eastAsia="Arial" w:hAnsi="Times New Roman" w:cs="Times New Roman"/>
          <w:kern w:val="1"/>
          <w:sz w:val="24"/>
          <w:szCs w:val="24"/>
          <w:lang w:eastAsia="lv-LV"/>
        </w:rPr>
        <w:t>, var ierobežot, ja šāds ierobežojums ir noteikts ar pienācīgā kārtībā pieņemtu likumu, ierobežojumam ir leģitīms mērķis un ierobežojums ir samērīgs ar leģitīmo mērķi (</w:t>
      </w:r>
      <w:r w:rsidRPr="00A2373B">
        <w:rPr>
          <w:rFonts w:ascii="Times New Roman" w:eastAsia="Arial" w:hAnsi="Times New Roman" w:cs="Times New Roman"/>
          <w:i/>
          <w:kern w:val="1"/>
          <w:sz w:val="24"/>
          <w:szCs w:val="24"/>
          <w:lang w:eastAsia="lv-LV"/>
        </w:rPr>
        <w:t>sk., piemēram, Satversmes tiesas 2003. gada 27. jūnija sprieduma lietā Nr. 2003-04-01 secinājumu daļas 1.2. punktu</w:t>
      </w:r>
      <w:r w:rsidRPr="00A2373B">
        <w:rPr>
          <w:rFonts w:ascii="Times New Roman" w:eastAsia="Arial" w:hAnsi="Times New Roman" w:cs="Times New Roman"/>
          <w:kern w:val="1"/>
          <w:sz w:val="24"/>
          <w:szCs w:val="24"/>
          <w:lang w:eastAsia="lv-LV"/>
        </w:rPr>
        <w:t>).</w:t>
      </w: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rsidR="00A2373B" w:rsidRPr="00A2373B" w:rsidRDefault="00A2373B" w:rsidP="00A2373B">
      <w:pPr>
        <w:spacing w:after="0" w:line="240" w:lineRule="auto"/>
        <w:contextualSpacing/>
        <w:jc w:val="both"/>
        <w:rPr>
          <w:rFonts w:ascii="Times New Roman" w:eastAsia="Calibri" w:hAnsi="Times New Roman" w:cs="Times New Roman"/>
          <w:b/>
          <w:sz w:val="24"/>
          <w:szCs w:val="24"/>
        </w:rPr>
      </w:pPr>
      <w:r w:rsidRPr="00A2373B">
        <w:rPr>
          <w:rFonts w:ascii="Times New Roman" w:eastAsia="Calibri" w:hAnsi="Times New Roman" w:cs="Times New Roman"/>
          <w:sz w:val="24"/>
          <w:szCs w:val="24"/>
        </w:rPr>
        <w:t xml:space="preserve">Likumprojekts paredz minēto depozīta maksājumu noteikt ar Imigrācijas likumu, kas tiks pieņemts un izslidināts Satversmē un Saeimas kārtības rullī noteiktajā kārtībā. Likumprojektā iekļauts arī deleģējums Ministru kabinetam noteikt depozīta maksājuma apmēru, samaksas un atmaksas kārtību, kā arī atbrīvojumus no depozīta samaksas. </w:t>
      </w:r>
      <w:r w:rsidRPr="00A2373B">
        <w:rPr>
          <w:rFonts w:ascii="Times New Roman" w:eastAsia="Calibri" w:hAnsi="Times New Roman" w:cs="Times New Roman"/>
          <w:b/>
          <w:sz w:val="24"/>
          <w:szCs w:val="24"/>
        </w:rPr>
        <w:t xml:space="preserve">Līdz ar to, ar likumprojekta un attiecīgo Ministru kabineta noteiktumu pieņemšanu un stāšanos spēkā minētais </w:t>
      </w:r>
      <w:proofErr w:type="spellStart"/>
      <w:r w:rsidRPr="00A2373B">
        <w:rPr>
          <w:rFonts w:ascii="Times New Roman" w:eastAsia="Calibri" w:hAnsi="Times New Roman" w:cs="Times New Roman"/>
          <w:b/>
          <w:sz w:val="24"/>
          <w:szCs w:val="24"/>
        </w:rPr>
        <w:t>pamattiesību</w:t>
      </w:r>
      <w:proofErr w:type="spellEnd"/>
      <w:r w:rsidRPr="00A2373B">
        <w:rPr>
          <w:rFonts w:ascii="Times New Roman" w:eastAsia="Calibri" w:hAnsi="Times New Roman" w:cs="Times New Roman"/>
          <w:b/>
          <w:sz w:val="24"/>
          <w:szCs w:val="24"/>
        </w:rPr>
        <w:t xml:space="preserve"> ierobežojums būs noteikts ar likumu.</w:t>
      </w: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rsidR="00A2373B" w:rsidRPr="00A2373B" w:rsidRDefault="00A2373B" w:rsidP="00A2373B">
      <w:pPr>
        <w:spacing w:after="0" w:line="240" w:lineRule="auto"/>
        <w:contextualSpacing/>
        <w:jc w:val="both"/>
        <w:rPr>
          <w:rFonts w:ascii="Times New Roman" w:eastAsia="Calibri" w:hAnsi="Times New Roman" w:cs="Times New Roman"/>
          <w:sz w:val="24"/>
          <w:szCs w:val="24"/>
        </w:rPr>
      </w:pPr>
      <w:r w:rsidRPr="00A2373B">
        <w:rPr>
          <w:rFonts w:ascii="Times New Roman" w:eastAsia="Calibri" w:hAnsi="Times New Roman" w:cs="Times New Roman"/>
          <w:sz w:val="24"/>
          <w:szCs w:val="24"/>
        </w:rPr>
        <w:t>Ikviena tiesību ierobežojuma pamatā ir jābūt apstākļiem un argumentiem, kādēļ tas ir vajadzīgs, proti, ierobežojums tiek noteikts svarīgu interešu - leģitīma mērķa - labad (</w:t>
      </w:r>
      <w:r w:rsidRPr="00A2373B">
        <w:rPr>
          <w:rFonts w:ascii="Times New Roman" w:eastAsia="Calibri" w:hAnsi="Times New Roman" w:cs="Times New Roman"/>
          <w:i/>
          <w:sz w:val="24"/>
          <w:szCs w:val="24"/>
        </w:rPr>
        <w:t>sk. Satversmes tiesas 2005. gada 22. decembra sprieduma lietā Nr. 2005-19-01 9. punktu un 2006. gada 14. marta sprieduma lietā Nr. 2005-18-01 13. punktu</w:t>
      </w:r>
      <w:r w:rsidRPr="00A2373B">
        <w:rPr>
          <w:rFonts w:ascii="Times New Roman" w:eastAsia="Calibri" w:hAnsi="Times New Roman" w:cs="Times New Roman"/>
          <w:sz w:val="24"/>
          <w:szCs w:val="24"/>
        </w:rPr>
        <w:t xml:space="preserve">). Likumprojektā ietvertais </w:t>
      </w:r>
      <w:proofErr w:type="spellStart"/>
      <w:r w:rsidRPr="00A2373B">
        <w:rPr>
          <w:rFonts w:ascii="Times New Roman" w:eastAsia="Calibri" w:hAnsi="Times New Roman" w:cs="Times New Roman"/>
          <w:sz w:val="24"/>
          <w:szCs w:val="24"/>
        </w:rPr>
        <w:t>pamattiesību</w:t>
      </w:r>
      <w:proofErr w:type="spellEnd"/>
      <w:r w:rsidRPr="00A2373B">
        <w:rPr>
          <w:rFonts w:ascii="Times New Roman" w:eastAsia="Calibri" w:hAnsi="Times New Roman" w:cs="Times New Roman"/>
          <w:sz w:val="24"/>
          <w:szCs w:val="24"/>
        </w:rPr>
        <w:t xml:space="preserve"> ierobežojuma mērķis ir nodrošināt imigrācijas </w:t>
      </w:r>
      <w:r w:rsidRPr="00A2373B">
        <w:rPr>
          <w:rFonts w:ascii="Times New Roman" w:eastAsia="Calibri" w:hAnsi="Times New Roman" w:cs="Times New Roman"/>
          <w:sz w:val="24"/>
          <w:szCs w:val="24"/>
        </w:rPr>
        <w:lastRenderedPageBreak/>
        <w:t xml:space="preserve">procesos iesaistīto iestāžu pienācīgu darbību. Šāds mērķis izriet no citu personu interešu aizsardzības pienākuma. Ārlietu ministrijas Konsulārajam departamentam un Valsts Robežsardzei ir jānodrošina sekmīga un kvalitatīva imigrācijas procesu kontrole, kas var būtiski ietekmēt daudzu personu tiesības. Īpaši ir uzsverams, ka šie procesi ietekmē ne vien vīzas pieteikuma iesniedzēja tiesības, bet arī sabiedrības intereses kopumā, jo imigrācijas kontrole, kas tiek realizēta, izskatot vīzu pieteikumus, nodrošina nelegālās imigrācijas kontroli un tādu personu ieceļošanas novēršanu, kas varētu apdraudēt sabiedrības drošību, kārtību, sociālās un ekonomiskās intereses. </w:t>
      </w:r>
    </w:p>
    <w:p w:rsidR="00A2373B" w:rsidRPr="00A2373B" w:rsidRDefault="00A2373B" w:rsidP="00A2373B">
      <w:pPr>
        <w:spacing w:after="0" w:line="240" w:lineRule="auto"/>
        <w:contextualSpacing/>
        <w:jc w:val="both"/>
        <w:rPr>
          <w:rFonts w:ascii="Times New Roman" w:eastAsia="Calibri" w:hAnsi="Times New Roman" w:cs="Times New Roman"/>
          <w:sz w:val="24"/>
          <w:szCs w:val="24"/>
        </w:rPr>
      </w:pPr>
    </w:p>
    <w:p w:rsidR="00A2373B" w:rsidRPr="00A2373B" w:rsidRDefault="00A2373B" w:rsidP="00A2373B">
      <w:pPr>
        <w:spacing w:after="0" w:line="240" w:lineRule="auto"/>
        <w:contextualSpacing/>
        <w:jc w:val="both"/>
        <w:rPr>
          <w:rFonts w:ascii="Times New Roman" w:eastAsia="Calibri" w:hAnsi="Times New Roman" w:cs="Times New Roman"/>
          <w:sz w:val="24"/>
          <w:szCs w:val="24"/>
        </w:rPr>
      </w:pPr>
      <w:r w:rsidRPr="00A2373B">
        <w:rPr>
          <w:rFonts w:ascii="Times New Roman" w:eastAsia="Calibri" w:hAnsi="Times New Roman" w:cs="Times New Roman"/>
          <w:sz w:val="24"/>
          <w:szCs w:val="24"/>
        </w:rPr>
        <w:t>Vienlaikus ir konstatēts, ka lielākajā daļā gadījumu lēmuma apstrīdēšanu personas izmanto nepamatoti. Laika periodā no 2011. gada jūlija, kad tika ieviests apstrīdēšanas mehānisms, līdz 2019. gada 31.decembrim Ārlietu ministrijas Konsulārais departaments saņēmis 756 apstrīdēšanas iesniegumus (86 gadījumos D vīzu atteikumu apstrīdēšana, 670 – C vīzu atteikumu apstrīdēšana). Šajā laika periodā iesniegumu skaits ir strauji audzis, piem., 2015.gadā tika saņemti 34 iesniegumi, bet 2019. gadā – 219 iesniegumi. Prognozējams, ka iesniegumu skaits līdz ar ceļošanas ierobežojumu atcelšanu pēc epidemioloģisko risku novēršanas saistībā ar COVID-19 infekcijas izraisīto saslimšanu turpinās pieaugt, jo jau 2020.gada pirmajā mēnesī tika saņemti 23 iesniegumi. No 756 apstrīdētajiem lēmumiem Konsulārā departamenta direktors atcēlis 36 lēmumus. Tādējādi konstatējams, ka 95% apstrīdēšanas iesniegumu tiek atzīti par nepamatotiem. Konsulārais departaments arī konstatējis izveidojušos praksi, ka dažādi starpnieki piedāvā vīzu pieteicējiem viņu vietā sagatavot standarta formas apstrīdēšanas iesniegumus neatkarīgi no vīzas atteikuma pamatojuma. Šāda pakalpojuma ietvaros visās apstrīdēšanas lietās tiek iesniegti iepriekšsagatavoti, vienādi apstrīdēšanas iesniegumi.</w:t>
      </w:r>
    </w:p>
    <w:p w:rsidR="00A2373B" w:rsidRPr="00A2373B" w:rsidRDefault="00A2373B" w:rsidP="00A2373B">
      <w:pPr>
        <w:spacing w:after="0" w:line="240" w:lineRule="auto"/>
        <w:contextualSpacing/>
        <w:jc w:val="both"/>
        <w:rPr>
          <w:rFonts w:ascii="Times New Roman" w:eastAsia="Calibri" w:hAnsi="Times New Roman" w:cs="Times New Roman"/>
          <w:sz w:val="24"/>
          <w:szCs w:val="24"/>
        </w:rPr>
      </w:pPr>
    </w:p>
    <w:p w:rsidR="00A2373B" w:rsidRPr="00A2373B" w:rsidRDefault="00A2373B" w:rsidP="00A2373B">
      <w:pPr>
        <w:spacing w:after="0" w:line="240" w:lineRule="auto"/>
        <w:contextualSpacing/>
        <w:jc w:val="both"/>
        <w:rPr>
          <w:rFonts w:ascii="Times New Roman" w:eastAsia="Calibri" w:hAnsi="Times New Roman" w:cs="Times New Roman"/>
          <w:sz w:val="24"/>
          <w:szCs w:val="24"/>
        </w:rPr>
      </w:pPr>
      <w:r w:rsidRPr="00A2373B">
        <w:rPr>
          <w:rFonts w:ascii="Times New Roman" w:eastAsia="Calibri" w:hAnsi="Times New Roman" w:cs="Times New Roman"/>
          <w:sz w:val="24"/>
          <w:szCs w:val="24"/>
        </w:rPr>
        <w:t xml:space="preserve">Maksājumi par apstrīdēšanas iesnieguma izskatīšanu ir noteiktas vairumā Šengenas zonas dalībvalstu, arī Igaunijā un Lietuvā. Eiropas Komisijas Vīzu komitejas sanāksmju laikā dalībvalstu pārstāvju sniegtā informācija un Ārlietu ministrijā no dalībvalstīm saņemtā informācija liecina, ka maksājumi par apstrīdēšanas iesnieguma izskatīšanu dalībvalstīs galvenokārt tiek ieviesta ar mērķi regulēt apstrīdēšanas iesnieguma skaitu, veicināt apstrīdēšanas iesniegumu satura kvalitāti, kā arī segt ar apstrīdēšanas iesnieguma izskatīšanu saistītos administratīvos izdevumus. </w:t>
      </w: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rsidR="00A2373B" w:rsidRPr="00A2373B" w:rsidRDefault="00A2373B" w:rsidP="00A2373B">
      <w:pPr>
        <w:spacing w:after="0" w:line="240" w:lineRule="auto"/>
        <w:contextualSpacing/>
        <w:jc w:val="both"/>
        <w:rPr>
          <w:rFonts w:ascii="Times New Roman" w:eastAsia="Calibri" w:hAnsi="Times New Roman" w:cs="Times New Roman"/>
          <w:sz w:val="24"/>
          <w:szCs w:val="24"/>
        </w:rPr>
      </w:pPr>
      <w:r w:rsidRPr="00A2373B">
        <w:rPr>
          <w:rFonts w:ascii="Times New Roman" w:eastAsia="Calibri" w:hAnsi="Times New Roman" w:cs="Times New Roman"/>
          <w:sz w:val="24"/>
          <w:szCs w:val="24"/>
        </w:rPr>
        <w:t>Īpaši</w:t>
      </w:r>
      <w:r w:rsidRPr="00A2373B">
        <w:rPr>
          <w:rFonts w:ascii="Calibri" w:eastAsia="Calibri" w:hAnsi="Calibri" w:cs="Times New Roman"/>
        </w:rPr>
        <w:t xml:space="preserve"> a</w:t>
      </w:r>
      <w:r w:rsidRPr="00A2373B">
        <w:rPr>
          <w:rFonts w:ascii="Times New Roman" w:eastAsia="Calibri" w:hAnsi="Times New Roman" w:cs="Times New Roman"/>
          <w:sz w:val="24"/>
          <w:szCs w:val="24"/>
        </w:rPr>
        <w:t xml:space="preserve">tzīmējams, ka, pievienojoties Šengenas zonai, Latvija uzņēmās praktiskas saistības spēt, izsniedzot vīzas, kontrolēt imigrāciju visu Šengenas zonas valstu interesēs. Šī spēja  tiek uzraudzīta un regulāri pārbaudīta, Eiropas Komisijai veicot pārbaudes par Latvijas institūciju īstenoto vīzu izsniegšanas procesu saskaņā ar </w:t>
      </w:r>
      <w:r w:rsidRPr="00A2373B">
        <w:rPr>
          <w:rFonts w:ascii="Times New Roman" w:eastAsia="Calibri" w:hAnsi="Times New Roman" w:cs="Times New Roman"/>
          <w:i/>
          <w:sz w:val="24"/>
          <w:szCs w:val="24"/>
        </w:rPr>
        <w:t xml:space="preserve">Padomes Regulu (ES) Nr. 1053/2013 ( 2013. gada 7. oktobris ), ar ko izveido izvērtēšanas un uzraudzības mehānismu, lai pārbaudītu Šengenas </w:t>
      </w:r>
      <w:proofErr w:type="spellStart"/>
      <w:r w:rsidRPr="00A2373B">
        <w:rPr>
          <w:rFonts w:ascii="Times New Roman" w:eastAsia="Calibri" w:hAnsi="Times New Roman" w:cs="Times New Roman"/>
          <w:i/>
          <w:sz w:val="24"/>
          <w:szCs w:val="24"/>
        </w:rPr>
        <w:t>acquis</w:t>
      </w:r>
      <w:proofErr w:type="spellEnd"/>
      <w:r w:rsidRPr="00A2373B">
        <w:rPr>
          <w:rFonts w:ascii="Times New Roman" w:eastAsia="Calibri" w:hAnsi="Times New Roman" w:cs="Times New Roman"/>
          <w:i/>
          <w:sz w:val="24"/>
          <w:szCs w:val="24"/>
        </w:rPr>
        <w:t xml:space="preserve"> piemērošanu, un ar ko atceļ Izpildu komitejas lēmumu ( 1998. gada 16. septembris ), ar ko izveido Šengenas izvērtēšanas un īstenošanas pastāvīgo komiteju</w:t>
      </w:r>
      <w:r w:rsidRPr="00A2373B">
        <w:rPr>
          <w:rFonts w:ascii="Times New Roman" w:eastAsia="Calibri" w:hAnsi="Times New Roman" w:cs="Times New Roman"/>
          <w:sz w:val="24"/>
          <w:szCs w:val="24"/>
        </w:rPr>
        <w:t>.</w:t>
      </w:r>
    </w:p>
    <w:p w:rsidR="00A2373B" w:rsidRPr="00A2373B" w:rsidRDefault="00A2373B" w:rsidP="00A2373B">
      <w:pPr>
        <w:spacing w:after="0" w:line="240" w:lineRule="auto"/>
        <w:contextualSpacing/>
        <w:jc w:val="both"/>
        <w:rPr>
          <w:rFonts w:ascii="Times New Roman" w:eastAsia="Calibri" w:hAnsi="Times New Roman" w:cs="Times New Roman"/>
          <w:sz w:val="24"/>
          <w:szCs w:val="24"/>
        </w:rPr>
      </w:pPr>
    </w:p>
    <w:p w:rsidR="00A2373B" w:rsidRPr="00A2373B" w:rsidRDefault="00A2373B" w:rsidP="00A2373B">
      <w:pPr>
        <w:spacing w:after="0" w:line="240" w:lineRule="auto"/>
        <w:contextualSpacing/>
        <w:jc w:val="both"/>
        <w:rPr>
          <w:rFonts w:ascii="Times New Roman" w:eastAsia="Calibri" w:hAnsi="Times New Roman" w:cs="Times New Roman"/>
          <w:sz w:val="24"/>
          <w:szCs w:val="24"/>
        </w:rPr>
      </w:pPr>
      <w:r w:rsidRPr="00A2373B">
        <w:rPr>
          <w:rFonts w:ascii="Times New Roman" w:eastAsia="Calibri" w:hAnsi="Times New Roman" w:cs="Times New Roman"/>
          <w:sz w:val="24"/>
          <w:szCs w:val="24"/>
        </w:rPr>
        <w:t xml:space="preserve">Līdz ar to minētā ierobežojuma mērķis ir nodrošināt vīzu izsniegšanā un lēmumu kontrolē iesaistīto institūciju efektivitāti, mazinot apzināti nepamatotu iesniegumu skaitu, proti, ierobežojums noteikts, lai aizsargātu citu cilvēku tiesības, kas tiktu apdraudētas, nepietiekamā apmērā nodrošinot imigrācijas kontroli. Šādu </w:t>
      </w:r>
      <w:proofErr w:type="spellStart"/>
      <w:r w:rsidRPr="00A2373B">
        <w:rPr>
          <w:rFonts w:ascii="Times New Roman" w:eastAsia="Calibri" w:hAnsi="Times New Roman" w:cs="Times New Roman"/>
          <w:sz w:val="24"/>
          <w:szCs w:val="24"/>
        </w:rPr>
        <w:t>pamattiesību</w:t>
      </w:r>
      <w:proofErr w:type="spellEnd"/>
      <w:r w:rsidRPr="00A2373B">
        <w:rPr>
          <w:rFonts w:ascii="Times New Roman" w:eastAsia="Calibri" w:hAnsi="Times New Roman" w:cs="Times New Roman"/>
          <w:sz w:val="24"/>
          <w:szCs w:val="24"/>
        </w:rPr>
        <w:t xml:space="preserve"> uz brīvu pieeju tiesai ierobežojuma mērķi par leģitīmu un  Satversmei atbilstošu ir atzinusi arī Satversmes tiesa (</w:t>
      </w:r>
      <w:r w:rsidRPr="00A2373B">
        <w:rPr>
          <w:rFonts w:ascii="Times New Roman" w:eastAsia="Calibri" w:hAnsi="Times New Roman" w:cs="Times New Roman"/>
          <w:i/>
          <w:sz w:val="24"/>
          <w:szCs w:val="24"/>
        </w:rPr>
        <w:t>skat. Satversmes tiesas 2010.gada 19.aprīļa sprieduma lietā Nr.2009-77-01 21.pantu</w:t>
      </w:r>
      <w:r w:rsidRPr="00A2373B">
        <w:rPr>
          <w:rFonts w:ascii="Times New Roman" w:eastAsia="Calibri" w:hAnsi="Times New Roman" w:cs="Times New Roman"/>
          <w:sz w:val="24"/>
          <w:szCs w:val="24"/>
        </w:rPr>
        <w:t xml:space="preserve">). Vienlaikus Satversmes tiesa par leģitīmu </w:t>
      </w:r>
      <w:proofErr w:type="spellStart"/>
      <w:r w:rsidRPr="00A2373B">
        <w:rPr>
          <w:rFonts w:ascii="Times New Roman" w:eastAsia="Calibri" w:hAnsi="Times New Roman" w:cs="Times New Roman"/>
          <w:sz w:val="24"/>
          <w:szCs w:val="24"/>
        </w:rPr>
        <w:t>pamattiesību</w:t>
      </w:r>
      <w:proofErr w:type="spellEnd"/>
      <w:r w:rsidRPr="00A2373B">
        <w:rPr>
          <w:rFonts w:ascii="Times New Roman" w:eastAsia="Calibri" w:hAnsi="Times New Roman" w:cs="Times New Roman"/>
          <w:sz w:val="24"/>
          <w:szCs w:val="24"/>
        </w:rPr>
        <w:t xml:space="preserve"> </w:t>
      </w:r>
      <w:r w:rsidRPr="00A2373B">
        <w:rPr>
          <w:rFonts w:ascii="Times New Roman" w:eastAsia="Calibri" w:hAnsi="Times New Roman" w:cs="Times New Roman"/>
          <w:sz w:val="24"/>
          <w:szCs w:val="24"/>
        </w:rPr>
        <w:lastRenderedPageBreak/>
        <w:t>ierobežošanas mērķi ir atzinusi arī valsts pārvaldes iestāžu pasargāšanu no atsevišķu personu bezmērķīgas tiesāšanās un personu atturēšanu no vēršanās tiesā ar nepamatotām prasībām (</w:t>
      </w:r>
      <w:r w:rsidRPr="00A2373B">
        <w:rPr>
          <w:rFonts w:ascii="Times New Roman" w:eastAsia="Calibri" w:hAnsi="Times New Roman" w:cs="Times New Roman"/>
          <w:i/>
          <w:sz w:val="24"/>
          <w:szCs w:val="24"/>
        </w:rPr>
        <w:t>sk. Satversmes tiesas 2006. gada 14. marta sprieduma lietā Nr. 2005-18-01 13.2. punktu un Satversmes tiesas</w:t>
      </w:r>
      <w:r w:rsidRPr="00A2373B">
        <w:rPr>
          <w:rFonts w:ascii="Calibri" w:eastAsia="Calibri" w:hAnsi="Calibri" w:cs="Times New Roman"/>
          <w:i/>
        </w:rPr>
        <w:t xml:space="preserve"> </w:t>
      </w:r>
      <w:r w:rsidRPr="00A2373B">
        <w:rPr>
          <w:rFonts w:ascii="Times New Roman" w:eastAsia="Calibri" w:hAnsi="Times New Roman" w:cs="Times New Roman"/>
          <w:i/>
          <w:sz w:val="24"/>
          <w:szCs w:val="24"/>
        </w:rPr>
        <w:t>2008.gada 20.novembra sprieduma lietā Nr.2008-07-01 10.punktu</w:t>
      </w:r>
      <w:r w:rsidRPr="00A2373B">
        <w:rPr>
          <w:rFonts w:ascii="Times New Roman" w:eastAsia="Calibri" w:hAnsi="Times New Roman" w:cs="Times New Roman"/>
          <w:sz w:val="24"/>
          <w:szCs w:val="24"/>
        </w:rPr>
        <w:t xml:space="preserve">). Papildus šāda depozīta maksājuma ieviešana daļēji segtu arī iestāžu uzturēšanas izdevumus, ko par </w:t>
      </w:r>
      <w:proofErr w:type="spellStart"/>
      <w:r w:rsidRPr="00A2373B">
        <w:rPr>
          <w:rFonts w:ascii="Times New Roman" w:eastAsia="Calibri" w:hAnsi="Times New Roman" w:cs="Times New Roman"/>
          <w:sz w:val="24"/>
          <w:szCs w:val="24"/>
        </w:rPr>
        <w:t>pamattiesību</w:t>
      </w:r>
      <w:proofErr w:type="spellEnd"/>
      <w:r w:rsidRPr="00A2373B">
        <w:rPr>
          <w:rFonts w:ascii="Times New Roman" w:eastAsia="Calibri" w:hAnsi="Times New Roman" w:cs="Times New Roman"/>
          <w:sz w:val="24"/>
          <w:szCs w:val="24"/>
        </w:rPr>
        <w:t xml:space="preserve"> uz brīvu pieeju tiesai ierobežojuma leģitīmu un Satversmei atbilstošu mērķi arī ir atzinusi arī Satversmes tiesa (</w:t>
      </w:r>
      <w:r w:rsidRPr="00A2373B">
        <w:rPr>
          <w:rFonts w:ascii="Times New Roman" w:eastAsia="Calibri" w:hAnsi="Times New Roman" w:cs="Times New Roman"/>
          <w:i/>
          <w:sz w:val="24"/>
          <w:szCs w:val="24"/>
        </w:rPr>
        <w:t>sk. Satversmes tiesas 2005. gada 4. janvāra sprieduma lietā Nr. 2004-16-01 8.2. punktu</w:t>
      </w:r>
      <w:r w:rsidRPr="00A2373B">
        <w:rPr>
          <w:rFonts w:ascii="Times New Roman" w:eastAsia="Calibri" w:hAnsi="Times New Roman" w:cs="Times New Roman"/>
          <w:sz w:val="24"/>
          <w:szCs w:val="24"/>
        </w:rPr>
        <w:t xml:space="preserve">). </w:t>
      </w:r>
      <w:r w:rsidRPr="00A2373B">
        <w:rPr>
          <w:rFonts w:ascii="Times New Roman" w:eastAsia="Calibri" w:hAnsi="Times New Roman" w:cs="Times New Roman"/>
          <w:b/>
          <w:sz w:val="24"/>
          <w:szCs w:val="24"/>
        </w:rPr>
        <w:t xml:space="preserve">Tādējādi ir secināms, ka šādam ierobežojumam ir leģitīms mērķis. </w:t>
      </w: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rsidR="00A2373B" w:rsidRPr="00A2373B" w:rsidRDefault="00A2373B" w:rsidP="00A2373B">
      <w:pPr>
        <w:widowControl w:val="0"/>
        <w:suppressAutoHyphens/>
        <w:spacing w:after="0" w:line="240" w:lineRule="auto"/>
        <w:contextualSpacing/>
        <w:jc w:val="both"/>
        <w:rPr>
          <w:rFonts w:ascii="Times New Roman" w:eastAsia="Calibri" w:hAnsi="Times New Roman" w:cs="Times New Roman"/>
          <w:b/>
          <w:sz w:val="24"/>
          <w:szCs w:val="24"/>
        </w:rPr>
      </w:pPr>
      <w:r w:rsidRPr="00A2373B">
        <w:rPr>
          <w:rFonts w:ascii="Times New Roman" w:eastAsia="Calibri" w:hAnsi="Times New Roman" w:cs="Times New Roman"/>
          <w:sz w:val="24"/>
          <w:szCs w:val="24"/>
        </w:rPr>
        <w:t xml:space="preserve">Lai lemtu par </w:t>
      </w:r>
      <w:proofErr w:type="spellStart"/>
      <w:r w:rsidRPr="00A2373B">
        <w:rPr>
          <w:rFonts w:ascii="Times New Roman" w:eastAsia="Calibri" w:hAnsi="Times New Roman" w:cs="Times New Roman"/>
          <w:sz w:val="24"/>
          <w:szCs w:val="24"/>
        </w:rPr>
        <w:t>pamattiesību</w:t>
      </w:r>
      <w:proofErr w:type="spellEnd"/>
      <w:r w:rsidRPr="00A2373B">
        <w:rPr>
          <w:rFonts w:ascii="Times New Roman" w:eastAsia="Calibri" w:hAnsi="Times New Roman" w:cs="Times New Roman"/>
          <w:sz w:val="24"/>
          <w:szCs w:val="24"/>
        </w:rPr>
        <w:t xml:space="preserve"> ierobežojuma samērīgumu, jāizvērtē, vai leģitīmā mērķa sasniegšanai ir izvēlēti iespējami saudzīgākie līdzekļi, proti, vai mērķi nevar sasniegt ar </w:t>
      </w:r>
      <w:proofErr w:type="spellStart"/>
      <w:r w:rsidRPr="00A2373B">
        <w:rPr>
          <w:rFonts w:ascii="Times New Roman" w:eastAsia="Calibri" w:hAnsi="Times New Roman" w:cs="Times New Roman"/>
          <w:sz w:val="24"/>
          <w:szCs w:val="24"/>
        </w:rPr>
        <w:t>pamattiesības</w:t>
      </w:r>
      <w:proofErr w:type="spellEnd"/>
      <w:r w:rsidRPr="00A2373B">
        <w:rPr>
          <w:rFonts w:ascii="Times New Roman" w:eastAsia="Calibri" w:hAnsi="Times New Roman" w:cs="Times New Roman"/>
          <w:sz w:val="24"/>
          <w:szCs w:val="24"/>
        </w:rPr>
        <w:t xml:space="preserve"> mazāk ierobežojošiem līdzekļiem. Šajā kontekstā ir uzsverams, ka </w:t>
      </w:r>
      <w:proofErr w:type="spellStart"/>
      <w:r w:rsidRPr="00A2373B">
        <w:rPr>
          <w:rFonts w:ascii="Times New Roman" w:eastAsia="Calibri" w:hAnsi="Times New Roman" w:cs="Times New Roman"/>
          <w:sz w:val="24"/>
          <w:szCs w:val="24"/>
        </w:rPr>
        <w:t>pamattiesību</w:t>
      </w:r>
      <w:proofErr w:type="spellEnd"/>
      <w:r w:rsidRPr="00A2373B">
        <w:rPr>
          <w:rFonts w:ascii="Times New Roman" w:eastAsia="Calibri" w:hAnsi="Times New Roman" w:cs="Times New Roman"/>
          <w:sz w:val="24"/>
          <w:szCs w:val="24"/>
        </w:rPr>
        <w:t xml:space="preserve"> uz brīvu pieeju tiesai ierobežojums, nosakot depozīta maksājumu par lēmuma apstrīdēšanu attiecas vienīgi uz ārvalstniekiem, kas turklāt uzturas ārvalstīs. Ņemot vērā to, ka saskaņā ar starptautisko tiesību pamatprincipiem un ievērojot citu pasaules valstu teritoriālo suverenitāti Latvija nevar realizēt savu suverēno varu ārvalstīs, faktiski nepastāv citi tiesiski līdzekļi kā ietekmēt personu rīcību. Jāņem vērā, ka depozīta maksājuma noteikšana jau atzīstama par saudzējošāku līdzekli leģitīmā mērķa sasniegšanai. Alternatīvs situācijas risinājums būtu, piemēram, valsts nodevas noteikšana par lēmuma apstrīdēšanu, kas daudz būtiskāk ierobežotu Satversmes 92. panta pirmajā teikumā noteiktās tiesības, jo šajā gadījumā arī personas, kuras pamatoti apstrīdējušas lēmumu, nesaņemtu samaksātās valsts nodevas atmaksu. Ņemot vērā minēto secināms, ka nepastāv saudzīgāki līdzekļi leģitīmā mērķa sasniegšanai. Vienlaikus Satversmes tiesa par samērīgu pieejas taisnīgai tiesai ierobežojumu (nosakot maksājumus) ir atzinusi, ja līdztekus maksājumam tikusi nodrošināta arī iespēja piemērot saudzējošāku regulējumu (piem., atbrīvojumu no depozīta maksājuma) (</w:t>
      </w:r>
      <w:r w:rsidRPr="00A2373B">
        <w:rPr>
          <w:rFonts w:ascii="Times New Roman" w:eastAsia="Calibri" w:hAnsi="Times New Roman" w:cs="Times New Roman"/>
          <w:i/>
          <w:sz w:val="24"/>
          <w:szCs w:val="24"/>
        </w:rPr>
        <w:t>sk. Satversmes tiesas 2005. gada 4. janvāra sprieduma lietā Nr. 2004-16-01 8.5. punktu</w:t>
      </w:r>
      <w:r w:rsidRPr="00A2373B">
        <w:rPr>
          <w:rFonts w:ascii="Times New Roman" w:eastAsia="Calibri" w:hAnsi="Times New Roman" w:cs="Times New Roman"/>
          <w:sz w:val="24"/>
          <w:szCs w:val="24"/>
        </w:rPr>
        <w:t xml:space="preserve">). Likumprojektā piedāvātais risinājums paredz deleģējumu Ministru kabinetam noteikt arī  atbrīvojumus no depozīta samaksas. Konsulāro funkciju veikšanā attiecībā uz ārvalstniekiem (piem., valsts nodevas par publisku dokumentu legalizāciju samaksas atbrīvojumi) šādi atbrīvojumi tiek piemēroti saskaņā ar Latvijas Republikai saistošajiem starptautiskajiem līgumiem, valsts interesēs vai humānu apsvērumu dēļ uz personas argumentēta iesnieguma pamata. </w:t>
      </w:r>
      <w:r w:rsidRPr="00A2373B">
        <w:rPr>
          <w:rFonts w:ascii="Times New Roman" w:eastAsia="Calibri" w:hAnsi="Times New Roman" w:cs="Times New Roman"/>
          <w:b/>
          <w:sz w:val="24"/>
          <w:szCs w:val="24"/>
        </w:rPr>
        <w:t>Līdz ar to ir secināms, ka minētais ierobežojums ir arī samērīgs un atbilstošs Satversmes 92. panta pirmajā teikumā ietvertajam taisnīgas tiesas jēdzienam.</w:t>
      </w:r>
    </w:p>
    <w:p w:rsidR="00A2373B" w:rsidRPr="00A2373B" w:rsidRDefault="00A2373B" w:rsidP="00A2373B">
      <w:pPr>
        <w:widowControl w:val="0"/>
        <w:suppressAutoHyphens/>
        <w:spacing w:after="0" w:line="240" w:lineRule="auto"/>
        <w:contextualSpacing/>
        <w:jc w:val="both"/>
        <w:rPr>
          <w:rFonts w:ascii="Times New Roman" w:eastAsia="Calibri" w:hAnsi="Times New Roman" w:cs="Times New Roman"/>
          <w:sz w:val="24"/>
          <w:szCs w:val="24"/>
        </w:rPr>
      </w:pPr>
    </w:p>
    <w:p w:rsidR="00A2373B" w:rsidRPr="00A2373B" w:rsidRDefault="00A2373B" w:rsidP="00A2373B">
      <w:pPr>
        <w:widowControl w:val="0"/>
        <w:suppressAutoHyphens/>
        <w:spacing w:after="0" w:line="240" w:lineRule="auto"/>
        <w:contextualSpacing/>
        <w:jc w:val="both"/>
        <w:rPr>
          <w:rFonts w:ascii="Times New Roman" w:eastAsia="Arial" w:hAnsi="Times New Roman" w:cs="Times New Roman"/>
          <w:kern w:val="1"/>
          <w:sz w:val="24"/>
          <w:szCs w:val="24"/>
          <w:lang w:eastAsia="lv-LV"/>
        </w:rPr>
      </w:pPr>
      <w:r w:rsidRPr="00A2373B">
        <w:rPr>
          <w:rFonts w:ascii="Times New Roman" w:eastAsia="Calibri" w:hAnsi="Times New Roman" w:cs="Times New Roman"/>
          <w:sz w:val="24"/>
          <w:szCs w:val="24"/>
        </w:rPr>
        <w:t>Kopumā secināms, ka likumprojektā iekļautais regulējums, ieviešot depozīta maksājumu par vīzas vai vīzas pagarinājuma atteikuma, anulēšanas vai atcelšanas lēmuma apstrīdēšanu ir uzskatāms par Latvijas Republikas Satversmei atbilstošu.”</w:t>
      </w:r>
    </w:p>
    <w:p w:rsidR="00BD5F72" w:rsidRPr="00BD5F72" w:rsidRDefault="00BD5F72" w:rsidP="00BD5F72">
      <w:pPr>
        <w:spacing w:before="100" w:beforeAutospacing="1" w:after="100" w:afterAutospacing="1"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Cieņā,</w:t>
      </w:r>
    </w:p>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 xml:space="preserve">Dagnija Lāce – </w:t>
      </w:r>
      <w:proofErr w:type="spellStart"/>
      <w:r w:rsidRPr="00BD5F72">
        <w:rPr>
          <w:rFonts w:ascii="Times New Roman" w:eastAsia="Times New Roman" w:hAnsi="Times New Roman" w:cs="Times New Roman"/>
          <w:sz w:val="24"/>
          <w:szCs w:val="24"/>
          <w:lang w:eastAsia="lv-LV"/>
        </w:rPr>
        <w:t>Ate</w:t>
      </w:r>
      <w:proofErr w:type="spellEnd"/>
    </w:p>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Padomniece – Konsulāri tiesisko jautājumu nodaļas vadītāja</w:t>
      </w:r>
    </w:p>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Konsulārais departaments</w:t>
      </w:r>
    </w:p>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Ārlietu ministrija</w:t>
      </w:r>
    </w:p>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 </w:t>
      </w:r>
    </w:p>
    <w:p w:rsidR="00BD5F72"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Tel. +371 67016 160</w:t>
      </w:r>
    </w:p>
    <w:p w:rsidR="00FC48FA" w:rsidRPr="00BD5F72" w:rsidRDefault="00BD5F72" w:rsidP="00BD5F72">
      <w:pPr>
        <w:spacing w:after="0" w:line="240" w:lineRule="auto"/>
        <w:rPr>
          <w:rFonts w:ascii="Times New Roman" w:eastAsia="Times New Roman" w:hAnsi="Times New Roman" w:cs="Times New Roman"/>
          <w:sz w:val="24"/>
          <w:szCs w:val="24"/>
          <w:lang w:eastAsia="lv-LV"/>
        </w:rPr>
      </w:pPr>
      <w:r w:rsidRPr="00BD5F72">
        <w:rPr>
          <w:rFonts w:ascii="Times New Roman" w:eastAsia="Times New Roman" w:hAnsi="Times New Roman" w:cs="Times New Roman"/>
          <w:sz w:val="24"/>
          <w:szCs w:val="24"/>
          <w:lang w:eastAsia="lv-LV"/>
        </w:rPr>
        <w:t xml:space="preserve">e-pasts: </w:t>
      </w:r>
      <w:hyperlink r:id="rId8" w:history="1">
        <w:r w:rsidRPr="00BD5F72">
          <w:rPr>
            <w:rFonts w:ascii="Times New Roman" w:eastAsia="Times New Roman" w:hAnsi="Times New Roman" w:cs="Times New Roman"/>
            <w:color w:val="0000FF"/>
            <w:sz w:val="24"/>
            <w:szCs w:val="24"/>
            <w:u w:val="single"/>
            <w:lang w:eastAsia="lv-LV"/>
          </w:rPr>
          <w:t>dagnija.lace-ate@mfa.gov.lv</w:t>
        </w:r>
      </w:hyperlink>
    </w:p>
    <w:sectPr w:rsidR="00FC48FA" w:rsidRPr="00BD5F72" w:rsidSect="00BD5F72">
      <w:headerReference w:type="default" r:id="rId9"/>
      <w:footerReference w:type="default" r:id="rId10"/>
      <w:footerReference w:type="firs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5C1" w:rsidRDefault="007465C1" w:rsidP="00A2373B">
      <w:pPr>
        <w:spacing w:after="0" w:line="240" w:lineRule="auto"/>
      </w:pPr>
      <w:r>
        <w:separator/>
      </w:r>
    </w:p>
  </w:endnote>
  <w:endnote w:type="continuationSeparator" w:id="0">
    <w:p w:rsidR="007465C1" w:rsidRDefault="007465C1" w:rsidP="00A23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F72" w:rsidRDefault="00BD5F72">
    <w:pPr>
      <w:pStyle w:val="Footer"/>
    </w:pPr>
    <w:r>
      <w:t>AMAtz_</w:t>
    </w:r>
    <w:r w:rsidR="00F73D5F">
      <w:t>2601</w:t>
    </w:r>
    <w:r>
      <w:t>21</w:t>
    </w:r>
  </w:p>
  <w:p w:rsidR="00BD5F72" w:rsidRDefault="00BD5F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D5F" w:rsidRDefault="00F73D5F" w:rsidP="00F73D5F">
    <w:pPr>
      <w:pStyle w:val="Footer"/>
    </w:pPr>
    <w:r>
      <w:t>AMAtz_260121</w:t>
    </w:r>
  </w:p>
  <w:p w:rsidR="00F73D5F" w:rsidRDefault="00F73D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5C1" w:rsidRDefault="007465C1" w:rsidP="00A2373B">
      <w:pPr>
        <w:spacing w:after="0" w:line="240" w:lineRule="auto"/>
      </w:pPr>
      <w:r>
        <w:separator/>
      </w:r>
    </w:p>
  </w:footnote>
  <w:footnote w:type="continuationSeparator" w:id="0">
    <w:p w:rsidR="007465C1" w:rsidRDefault="007465C1" w:rsidP="00A2373B">
      <w:pPr>
        <w:spacing w:after="0" w:line="240" w:lineRule="auto"/>
      </w:pPr>
      <w:r>
        <w:continuationSeparator/>
      </w:r>
    </w:p>
  </w:footnote>
  <w:footnote w:id="1">
    <w:p w:rsidR="00A2373B" w:rsidRPr="00190E83" w:rsidRDefault="00A2373B" w:rsidP="00A2373B">
      <w:pPr>
        <w:pStyle w:val="FootnoteText"/>
        <w:rPr>
          <w:rFonts w:ascii="Times New Roman" w:hAnsi="Times New Roman" w:cs="Times New Roman"/>
          <w:sz w:val="24"/>
          <w:szCs w:val="24"/>
        </w:rPr>
      </w:pPr>
      <w:r w:rsidRPr="00190E83">
        <w:rPr>
          <w:rStyle w:val="FootnoteReference"/>
          <w:rFonts w:ascii="Times New Roman" w:hAnsi="Times New Roman" w:cs="Times New Roman"/>
          <w:sz w:val="24"/>
          <w:szCs w:val="24"/>
        </w:rPr>
        <w:footnoteRef/>
      </w:r>
      <w:r w:rsidRPr="00190E83">
        <w:rPr>
          <w:rFonts w:ascii="Times New Roman" w:hAnsi="Times New Roman" w:cs="Times New Roman"/>
          <w:sz w:val="24"/>
          <w:szCs w:val="24"/>
        </w:rPr>
        <w:t xml:space="preserve"> Eiropas Parlamenta un Padomes Regula (EK) Nr. 810/2009 ( 2009. gada 13. jūlijs ), ar ko izveido Kopienas Vīzu kodeksu (Vīzu kodekss)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210670"/>
      <w:docPartObj>
        <w:docPartGallery w:val="Page Numbers (Top of Page)"/>
        <w:docPartUnique/>
      </w:docPartObj>
    </w:sdtPr>
    <w:sdtEndPr>
      <w:rPr>
        <w:noProof/>
      </w:rPr>
    </w:sdtEndPr>
    <w:sdtContent>
      <w:p w:rsidR="00BD5F72" w:rsidRDefault="00BD5F72">
        <w:pPr>
          <w:pStyle w:val="Header"/>
          <w:jc w:val="center"/>
        </w:pPr>
        <w:r>
          <w:fldChar w:fldCharType="begin"/>
        </w:r>
        <w:r>
          <w:instrText xml:space="preserve"> PAGE   \* MERGEFORMAT </w:instrText>
        </w:r>
        <w:r>
          <w:fldChar w:fldCharType="separate"/>
        </w:r>
        <w:r w:rsidR="00F73D5F">
          <w:rPr>
            <w:noProof/>
          </w:rPr>
          <w:t>5</w:t>
        </w:r>
        <w:r>
          <w:rPr>
            <w:noProof/>
          </w:rPr>
          <w:fldChar w:fldCharType="end"/>
        </w:r>
      </w:p>
    </w:sdtContent>
  </w:sdt>
  <w:p w:rsidR="00BD5F72" w:rsidRDefault="00BD5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014EF6"/>
    <w:multiLevelType w:val="hybridMultilevel"/>
    <w:tmpl w:val="B25AA8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73B"/>
    <w:rsid w:val="00472FBB"/>
    <w:rsid w:val="007465C1"/>
    <w:rsid w:val="00A2373B"/>
    <w:rsid w:val="00BD5F72"/>
    <w:rsid w:val="00F73D5F"/>
    <w:rsid w:val="00FC48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215989"/>
  <w15:chartTrackingRefBased/>
  <w15:docId w15:val="{62B436DB-643C-4019-BC08-461A20ED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237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373B"/>
    <w:rPr>
      <w:sz w:val="20"/>
      <w:szCs w:val="20"/>
    </w:rPr>
  </w:style>
  <w:style w:type="character" w:styleId="FootnoteReference">
    <w:name w:val="footnote reference"/>
    <w:basedOn w:val="DefaultParagraphFont"/>
    <w:uiPriority w:val="99"/>
    <w:semiHidden/>
    <w:unhideWhenUsed/>
    <w:rsid w:val="00A2373B"/>
    <w:rPr>
      <w:vertAlign w:val="superscript"/>
    </w:rPr>
  </w:style>
  <w:style w:type="paragraph" w:styleId="ListParagraph">
    <w:name w:val="List Paragraph"/>
    <w:basedOn w:val="Normal"/>
    <w:uiPriority w:val="34"/>
    <w:qFormat/>
    <w:rsid w:val="00A2373B"/>
    <w:pPr>
      <w:ind w:left="720"/>
      <w:contextualSpacing/>
    </w:pPr>
  </w:style>
  <w:style w:type="paragraph" w:styleId="Header">
    <w:name w:val="header"/>
    <w:basedOn w:val="Normal"/>
    <w:link w:val="HeaderChar"/>
    <w:uiPriority w:val="99"/>
    <w:unhideWhenUsed/>
    <w:rsid w:val="00BD5F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BD5F72"/>
  </w:style>
  <w:style w:type="paragraph" w:styleId="Footer">
    <w:name w:val="footer"/>
    <w:basedOn w:val="Normal"/>
    <w:link w:val="FooterChar"/>
    <w:uiPriority w:val="99"/>
    <w:unhideWhenUsed/>
    <w:rsid w:val="00BD5F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BD5F72"/>
  </w:style>
  <w:style w:type="character" w:styleId="Hyperlink">
    <w:name w:val="Hyperlink"/>
    <w:basedOn w:val="DefaultParagraphFont"/>
    <w:uiPriority w:val="99"/>
    <w:semiHidden/>
    <w:unhideWhenUsed/>
    <w:rsid w:val="00BD5F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184719">
      <w:bodyDiv w:val="1"/>
      <w:marLeft w:val="0"/>
      <w:marRight w:val="0"/>
      <w:marTop w:val="0"/>
      <w:marBottom w:val="0"/>
      <w:divBdr>
        <w:top w:val="none" w:sz="0" w:space="0" w:color="auto"/>
        <w:left w:val="none" w:sz="0" w:space="0" w:color="auto"/>
        <w:bottom w:val="none" w:sz="0" w:space="0" w:color="auto"/>
        <w:right w:val="none" w:sz="0" w:space="0" w:color="auto"/>
      </w:divBdr>
    </w:div>
    <w:div w:id="118910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gnija.lace-ate@mfa.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E4978-3618-4381-AD3A-D2DCC6B59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11257</Words>
  <Characters>6417</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17639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 Lace-Ate</dc:creator>
  <cp:keywords/>
  <dc:description/>
  <cp:lastModifiedBy>Ilze Briede</cp:lastModifiedBy>
  <cp:revision>3</cp:revision>
  <dcterms:created xsi:type="dcterms:W3CDTF">2021-02-26T08:37:00Z</dcterms:created>
  <dcterms:modified xsi:type="dcterms:W3CDTF">2021-02-26T08:39:00Z</dcterms:modified>
</cp:coreProperties>
</file>