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24-TA-2697: Instrukcijas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septembra instrukcijā Nr. 3 "Ārvalstu finanšu instrumentu finansētu civiltiesisku līgumu izstrādes un slēgšanas instrukcija valsts tiešās pārvaldes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Instrukcijas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2016. gada 20. septembra instrukcijā Nr. 3 "Ārvalstu finanšu instrumentu finansētu civiltiesisku līgumu izstrādes un slēgšanas instrukcija valsts tiešās pārvaldes iestādēs"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Uzturam iepriekš izteikto iebildumu par instrukcijas projekta papildināšanu ar jaunu 3.</w:t>
            </w:r>
            <w:r w:rsidR="00000000" w:rsidRPr="00000000" w:rsidDel="00000000">
              <w:rPr>
                <w:vertAlign w:val="superscript"/>
                <w:rtl w:val="0"/>
              </w:rPr>
              <w:t xml:space="preserve">1 </w:t>
            </w:r>
            <w:r w:rsidR="00000000" w:rsidRPr="00000000" w:rsidDel="00000000">
              <w:rPr>
                <w:rtl w:val="0"/>
              </w:rPr>
              <w:t xml:space="preserve">punktu, kas netika ņemts vērā, norādot, ka šāda grozījuma veikšanai būtu nepieciešams jauns Finanšu ministrijas virzīts projekts. Normatīvisma mazināšanas nolūkā būtu racionāli ministrijas piedāvāto  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punkta redakciju iestrādāt šajā Ekonomikas ministrijas virzītajā projektā, ja šāda grozījuma veikšanai pēc būtības nav iebildumu.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instrukciju ar 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punktu šādā redakcijā: “Gadījumā, ja ārvalstu finanšu instrumenta nosacījumi paredz atšķirīgus nosacījumus no instrukcijā noteiktajiem, pasūtītājs ir tiesīgs piemērot ārvalstu finanšu instrumenta nosacījumus.”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Āboliņa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22.11.2024.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24-TA-2697</w:t>
    </w:r>
    <w:r>
      <w:br/>
    </w:r>
    <w:r w:rsidR="00000000" w:rsidRPr="00000000" w:rsidDel="00000000">
      <w:rPr>
        <w:rtl w:val="0"/>
      </w:rPr>
      <w:t xml:space="preserve">Izdrukāts 22.11.2024.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