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Atbalstāmo darbību un izmaksu attiecināmības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skaidrības labad, norādīt, kuras no šajos noteikumos norādītajām atbalstāmajām darbībām un izmaksām ir kvalificējamas kā vispārējas tautsaimnieciskas nozīmes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rezerves izmaksas ne vairāk kā desmit procentu apmērā no attiecināmo būvniecības izmaksu kopsummas, ja projektā paredzētas būvniecības darbības un attiecināmajās izmaksās nav iekļauti šo noteikumu 29.7. apakšpunktā minētie neparedzētie izdevumi, un kuru izlietošanu finansējuma saņēmējs saskaņo ar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tikai viena veida izmaksas - neparedzētie izdevumi vai rezerves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projekta dzīves cikls ir 30 gadi, lūdzam papildināt anotāciju ar atbilstošu informāciju par projekta pēcuzraudzību, par uzraudzību atbildīgo iestādi projekta ilgtspējas nodrošināšanai, kas pārsniedz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noteiktā projekta dzīves cikla ilgumu.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šādus precizējumus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aizpildīt 2.1.apakšpunktu atbilstoši 1.1.apakšpunktam;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projekts ir par pasākuma pirmās projektu iesniegumu atlases kārtu, svītrot no anotācijas 3.sdaļas 6.punkta finansējuma sadalījumu pa gadiem pasākuma otrajai kārtai.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2.1.1. specifiskā atbalsta mērķa “Veicināt ilgtspējīgu ūdenssaimniecību”  2.2.1.1. pasākuma “Notekūdeņu un to dūņu apsaimniekošanas sistēmas attīstība piesārņojuma samazināšanai” pirmās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un pavadošajos dokumentos ir norādīts nekorekts specifiskā atbalsta mērķa “Veicināt ilgtspējīgu ūdenssaimniecību” numurs. Lai nodrošinātu skaidru un izsekojamu informāciju, zem kura specifiskā atbalsta mērķa pasākums tiek īstenots, lūdzam nodrošināt atbilstošu precizējumu veikšanu noteikumu projektā un tā saistošajos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Pakalpojuma līgumā norāda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pašvaldība ir plānota kā sadarbības partneris Ministru kabineta 2023. gada 13. jūlija noteikumu Nr. 408 "Kārtība, kādā Eiropas Savienības fondu vadībā iesaistītās institūcijas nodrošina šo fondu ieviešanu 2021.–2027. gada plānošanas periodā" izpratnē. Gadījumā, ja pašvaldība ir plānota kā sadarbības partneris, lūdzam precizēt noteikumu projektu, paredzot tieši sadarbības līguma slēgšanu un atrunājot sadarbības nosacījumus. Ja pašvaldība nav plānota kā sadarbības partneris, lūdzam ar atbilstošu informāciju papildināt anotāciju, t.sk. precizēt anotācijas 1.3. sadaļas apakšsadaļas "Risinājuma apraksts" punkta "Prasības projekta iesniedzējam" 2. rindkopu, ņemot vēra, ka noteikumu projekts šobrīd neparedz sadarbības partnera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iesniedzējs sagatavo projekta iesniegumu atbilstoši projektu iesniegumu atlases nolikumā noteiktajām prasībām un iesniedz to sadarbības iestādē, izmantojot Kohēzijas politikas fondu vadības informācijas sistēmu, tai skaitā apliecina projekta iesniedzēja interešu konflikta neesamību.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 skaidru normas interpretāciju par projekta iesniedzējam veicamajām darbībām, lūdzam aizstāt noteikumu projekta 23. punktā vārdus "apliecina projekta iesniedzēja interešu konflikta neesamību" ar vārdiem "paraksta interešu konflikta neesamības apliecinājumu".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projekta iesnieguma pamatojošās un īstenošanas dokumentācijas sagatavošanas izmaksas, nepārsniedzot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attiecināmo izmaksu nosacījumi Eiropas Savienības fondu 2021.-2027.gada plānošanas periodā nosaka, ka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aicinām izvērtēt, vai noteikumu projekta 29.1. un 29.2. apakšpunkts ir apvienojams un nosakāms maksimālais procentu apjoms (10%) uz visām šīm izmaksām kopā.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izmaksas horizontālā principa "Vienlīdzība, iekļaušana, nediskriminācija un pamattiesību ievērošana"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27.5.apakšpunktā noteikto darbību loku horizontālo principu īstenošanai, lūdzam izvērtēt iespēju atbilstoši papildināt noteikumu projekta 29.6. apakšpunktā noteiktās izmaksu pozīcijas.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 pievienotās vērtības nodokļa izmaksas saskaņā ar Eiropas Parlamenta un Padomes 2021. gada 24. jūnija Regulas (ES) Nr. 2021/1060, </w:t>
            </w:r>
            <w:r w:rsidR="00000000" w:rsidRPr="00000000" w:rsidDel="00000000">
              <w:rPr>
                <w:i w:val="1"/>
                <w:rtl w:val="0"/>
              </w:rPr>
              <w:t xml:space="preserve">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(turpmāk – regula Nr. 2021/1060) 64. panta 1. punkta "c" apakšpunktā ietvertajiem nosacījumiem, ja tās nav atgūstamas nodokļu politiku reglamentējošos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29.9.apakšpunktu aiz vārdiem "pievienotās vērtības nodokļa izmaksas" ar vārdiem "kas tiešā veidā saistītas ar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Pasākuma ietvaros plāno tikai attiecināmās izmaksas. Izmaksas, kas saskaņā ar šiem noteikumiem nav iekļaujamas projektā kā attiecināmās izmaksas, ir finansējamas ārpus projekta par finansējuma saņēmēja līdzekļiem. Ārpus projekta nedrīkst paredzēt izmaksas par darbībām, kas tiešā veidā nodrošina projekta mērķa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31.punkta otro teikumu, precizējot ierobežojumu, vai izmaksas, kas būs attiecināmas uz projektu, bet neiekļausies projekta budžetā (pēc iepirkuma veikšanas būs lielāka summa, nekā plānots) vai 35.4.apakšpunktā minētās izmaksas, finansējuma saņēmējs nevarēs segt no saviem līdzekļiem ārpus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kā šāds nosacījums ietekmēs sākotnējo projektā apstiprināto Eiropas Reģionālā attīstības fonda finansējuma atbalsta intensitāti, vēršam uzmanību, ka līguma grozījumu veikšana ar likmju izmaiņām liek atkārtoti izvērtēt projekta atbilstību atlases nosacījumiem un atklātas projektu iesniegumu atlases gadījumā, ja bija paredzēts vērtēšanas kritērijos, var ietekmēt sākotnējo lēmumu par projekta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Izmaksas ir attiecināmas no projekta iesnieguma iesniegšanas sadarbības iestādē dienas, izņemot šo noteikumu 29.1. apakšpunktā minētās izmaksas un 29.2. apakšpunktā minētās tehnisko specifikāciju, tehnisko projektu vai būvprojektu sagatavošanas (tai skaitā ar būvniecības ieceri un būvprojekta minimālā sastāvā saistīto sagatavošanas darbu) izmaksas, kas ir attiecināmas, ja tās veiktas pēc 2021. gada 1. janvāra.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32.punktu ar norādi, ka izmaksas nevar tikt attiecinātas par pabeigtām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no saviem līdzekļiem sedz projekta īstenošanas gaitā radušās sadārdzinājuma un citas papildu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ņemot vērā  31.punkta otro teikumu, šādas izmaksas iekļaujamas projekta iesniegumā.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nodrošina, ka projektā plānotie darbi netiek finansēti vai līdzfinansēti, kā arī nav plānots tos finansēt vai līdzfinansēt no citiem valsts vai ārvalstu finanšu atbalsta instrumentiem;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35.5. apakšpunktu aiz vārda "nodrošina" ar vārdiem "dubultā finansējuma neiestāšanos, tostarp". Vēršam uzmanību, ka dubultā finansējuma neiestāšanās nodrošināma ne tikai kontekstā ar darbību finansēšanu no citiem finanšu atbalsta instrumentiem, bet arī konkrētajam projektam piešķirtā finansējuma ietvaros darbības nedrīkst tikt finansētas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Sadarbības iestāde, ja tai ir pieejami valsts budžeta līdzekļi, izvērtējot plānotā avansa apmēru, tā pamatojumu, pamatojoties uz finansējuma saņēmēja rakstisku avansa pieprasījumu var piešķirt finansējuma saņēmējam avansu pēc civiltiesiskā līguma vai vienošanās par projekta īstenošanu noslēgšanas. Finansējuma saņēmējs avansa pieprasījumu sagatavo, un sadarbības iestāde apstiprina, ņemot vērā nosacījumu, ka plānotā avansa apmērs, tā pamatojums atbilst spējai to izlietot sešu mēnešu laikā saimnieciskā gada ietvaros. Finansējuma saņēmējam avansu var piešķirt līdz 50 procentiem no projektam piešķirtā Eiropas Reģionālā attīstības fonda finansējuma, ievērojot, ka avansu var izmaksāt vairākos maksājumos un avansa un starpposma maksājumu kopsumma nepārsniedz 90 procentus no projektam piešķirtā Eiropas Reģionālā attīstības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36.punktā nosacījumu avansa izlietošanai "saimnieciskā gada ietvaros", kas nav attiecināms uz atlases kārtā paredzētajiem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pasākuma ietvaros īstenotie projekti un investīcijas veicinās Eiropas Savienības stratēģijā Baltijas jūras reģionam (ESSBJR) noteikto mērķu sasniegšanu. Vienlaikus lūdzam papildināt anotāciju ar intervences kodiem, kā arī informācijas izsekojamībai skaidri norādīt, kuras pasākuma kārtas ietvaros tiks izmantots elastības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1.3. sadaļas apakšsadaļas "Risinājuma apraksts" punktā "Projekta īstenošanas nosacījumi", ka komunikācijas un vizuālās identitātes pasākumi tiks nodrošināti gan saskaņā ar Regulas 2021/1060 47. pantu un 50. pantu un normatīvajiem aktiem, kas nosaka kārtību, kādā Eiropas Savienības fondu vadībā iesaistītās institūcijas nodrošina šo fondu ieviešanu 2021. – 2027. gada plānošanas periodā, gan arī tiks ievērotas Eiropas Savienības fondu 2021.-2027. gada plānošanas perioda un Atveseļošanas fonda komunikācijas un dizaina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teikuma daļu, kas sākas ar vārdiem "….minimālais attiecināmo izmaksu apjoms ir 200 000 euro" salāgot ar noteikumu projekta 12.punktu, ņemot vērā, ka atbilstoši Regulas 2021/1060 53.panta 2.punktam, projektos līdz 200 000 EUR (ieskaitot) visām izmaksām jābūt segtām, piemērojot vienkāršotās izmaksas. Lūdzam veikt atbilstošus precizējumus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Eiropas Komisijas lēmuma par Eiropas Savienības daudzgadu finanšu shēmas 2021. – 2027. gadam vidusposma ziņojuma par kohēzijas politikas programmas ieviešanas progresu, Vides aizsardzības un reģionālās attīstības ministrijai sadarbībā ar Latvijas Pašvaldību savienību sagatavot priekšlikumu par papildu finansējuma piesaisti sabiedrisko ūdenssaimniecības pakalpojumu sniedzējiem aglomerācijās ar ienākošo piesārņojuma slodzi cilvēkekvivalentos 2000 – 10 000.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projekta 3.punktu ar norādi, kāda veida papildu finansējuma piesaiste sabiedrisko ūdenssaimniecības pakalpojumu sniedzējiem tiek plānota, kā arī detalizētāku informāciju par šo sniedzot anotācijas 6.4.sadaļā.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21.02.2024.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21.02.2024.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Atzinumi_23-TA-3286.docx</dc:title>
</cp:coreProperties>
</file>

<file path=docProps/custom.xml><?xml version="1.0" encoding="utf-8"?>
<Properties xmlns="http://schemas.openxmlformats.org/officeDocument/2006/custom-properties" xmlns:vt="http://schemas.openxmlformats.org/officeDocument/2006/docPropsVTypes"/>
</file>