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5.1. sadaļā norādīto informāciju par projekta saistību ar Eiropas Parlamenta un Padomes 2018. gada 14. novembra regulā (ES) 2018/1727 par Eiropas Savienības Aģentūru tiesu iestāžu sadarbībai krimināllietās (</w:t>
            </w:r>
            <w:r w:rsidR="00000000" w:rsidRPr="00000000" w:rsidDel="00000000">
              <w:rPr>
                <w:i w:val="1"/>
                <w:rtl w:val="0"/>
              </w:rPr>
              <w:t xml:space="preserve">Eurojust</w:t>
            </w:r>
            <w:r w:rsidR="00000000" w:rsidRPr="00000000" w:rsidDel="00000000">
              <w:rPr>
                <w:rtl w:val="0"/>
              </w:rPr>
              <w:t xml:space="preserve">) un ar ko aizstāj un atceļ Padomes Lēmumu 2002/187/TI (turpmāk - </w:t>
            </w:r>
            <w:r w:rsidR="00000000" w:rsidRPr="00000000" w:rsidDel="00000000">
              <w:rPr>
                <w:i w:val="1"/>
                <w:rtl w:val="0"/>
              </w:rPr>
              <w:t xml:space="preserve">Eurojust</w:t>
            </w:r>
            <w:r w:rsidR="00000000" w:rsidRPr="00000000" w:rsidDel="00000000">
              <w:rPr>
                <w:rtl w:val="0"/>
              </w:rPr>
              <w:t xml:space="preserve"> regula) ietverto regulējumu par </w:t>
            </w:r>
            <w:r w:rsidR="00000000" w:rsidRPr="00000000" w:rsidDel="00000000">
              <w:rPr>
                <w:i w:val="1"/>
                <w:rtl w:val="0"/>
              </w:rPr>
              <w:t xml:space="preserve">Eurojust</w:t>
            </w:r>
            <w:r w:rsidR="00000000" w:rsidRPr="00000000" w:rsidDel="00000000">
              <w:rPr>
                <w:rtl w:val="0"/>
              </w:rPr>
              <w:t xml:space="preserve"> mītni kā valsts pārstāvja vietnieka un palīga faktisko pastāvīgo darbavietu, aicinām anotācijas 5.4. sadaļas 1. tabulā norādīt konkrētu </w:t>
            </w:r>
            <w:r w:rsidR="00000000" w:rsidRPr="00000000" w:rsidDel="00000000">
              <w:rPr>
                <w:i w:val="1"/>
                <w:rtl w:val="0"/>
              </w:rPr>
              <w:t xml:space="preserve">Eurojust</w:t>
            </w:r>
            <w:r w:rsidR="00000000" w:rsidRPr="00000000" w:rsidDel="00000000">
              <w:rPr>
                <w:rtl w:val="0"/>
              </w:rPr>
              <w:t xml:space="preserve"> regulas vienību vai vienības un atbilstošo projekta vienību vai vienības, kurās saistībā ar iepriekš minēto regulējumu veiktas izmaiņas.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w:t>
            </w:r>
            <w:r w:rsidR="00000000" w:rsidRPr="00000000" w:rsidDel="00000000">
              <w:rPr>
                <w:i w:val="1"/>
                <w:rtl w:val="0"/>
              </w:rPr>
              <w:t xml:space="preserve">Eurojust</w:t>
            </w:r>
            <w:r w:rsidR="00000000" w:rsidRPr="00000000" w:rsidDel="00000000">
              <w:rPr>
                <w:rtl w:val="0"/>
              </w:rPr>
              <w:t xml:space="preserve"> regula 7. panta 2. punkta 3. teikumā paredzēta rīcības brīvība dalībvalstij ("</w:t>
            </w:r>
            <w:r w:rsidR="00000000" w:rsidRPr="00000000" w:rsidDel="00000000">
              <w:rPr>
                <w:i w:val="1"/>
                <w:rtl w:val="0"/>
              </w:rPr>
              <w:t xml:space="preserve">Katra dalībvalsts var nolemt, ka vietniekam vai palīgam vai abiem diviem parastā darba vieta atrodas viņu dalībvalstī.</w:t>
            </w:r>
            <w:r w:rsidR="00000000" w:rsidRPr="00000000" w:rsidDel="00000000">
              <w:rPr>
                <w:rtl w:val="0"/>
              </w:rPr>
              <w:t xml:space="preserve">"), aicinām aizpildīt arī aili par rīcības brīvības izmantošanu, kontekstā ar projektā ietverto regulējumu skaidrojot, vai un kā izmantota rīcības brīvība.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