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Finanšu ministrija varētu saskaņot MK noteikumu projektu, nepieciešams saņemt un ņemt vērā Eiropas Komisijas komentārus par Kompetences centru konceptu. Tāpat vēršam uzmanību, ka no EM nav saņemtas atbildes uz EK jautājumiem par MK noteikumu projektu (nosūtīts EM 18. un 28.09.2023).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(turpmāk – Atveseļošanas fonds)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ietvaros noteikumi” (turpmāk – investīcija) īstenošanas un uzraudzības kārtību,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 notika tikšanās ar EK revidentiem par Komisijas auditu Nr.DAC514LV1050 ES fondu 14-20 perioda kompetences centros, kura ietvaros Latvijai plāno piemērot sistēmisku finanšu korekciju līdz 25%. EK auditori uzskata, ka, kompetences centri var būt padomdevēji, konsultēt, bet nevar atlasīt pētniecības projektus, kam tiek piešķirs finansējums. Lūdzam EM izvērtēt investīcijas ieviešanas shēmu ņemot vērā riskus, kas izriet no EK norādījumiem 14-20 KC programmas auditā.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iesaistīto institūciju un finansējuma saņēmēja tiesības pieprasīt un saņemt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sniegusi skaidrojumu izziņā, ka finansējuma saņēmējs, lai nodrošinātu pētniecības projektu priekšizvērtējumu, var pieprasīt datus no tādām valsts informācijas sistēmām kā, piemēram, VID datubāzes, lai pārliecinātos, vai pētniecības projekta pieteicējam nav VID administrēto nodokļu parāda, tai skaitā VSAOI parāda, kas kopsummā pārsniedz 150 </w:t>
            </w:r>
            <w:r w:rsidR="00000000" w:rsidRPr="00000000" w:rsidDel="00000000">
              <w:rPr>
                <w:i w:val="1"/>
                <w:rtl w:val="0"/>
              </w:rPr>
              <w:t xml:space="preserve">euro</w:t>
            </w:r>
            <w:r w:rsidR="00000000" w:rsidRPr="00000000" w:rsidDel="00000000">
              <w:rPr>
                <w:rtl w:val="0"/>
              </w:rPr>
              <w:t xml:space="preserve">. Lūdzam ar minēto informāciju papildināt anotāciju, kā ari aicinām saskaņot noteikumu projektu ar Datu valsts inspekciju. Papildus skaidrojam, ka jebkurai datu bāzei ir piekļuves nosacījumi, tas nozīmē, ka ir jābūt skaidri noteiktam mērķim, tiesiskajam pamatojumam datus pieprasīt un saņemt. Ja ar minēto skaidrojumu izziņā ir domāta VID publiskā datu bāze, tad vēršam uzmanību, ka informācija no VID publiskās datu bāzes nav jāpieprasa.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iesniedz projekta iesniegumu Vadības informācijas sistēmā, pievienojot šādus dokumentus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iesniedzamo dokumentu sarakstu ar apliecinājumu par projekta iesniedzēja pieredzi inovāciju projektos un projekta vadītāja iepriekšējo pieredzi starptautisku projektu vadībā. Vēršam uzmanību, ka minētā informācija nepieciešama kvalitātes kritērija vērtējuma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projekta iesniedzēja gada pārskatu vai citu apliecinošu dokumentu, kas pamato šo noteikumu </w:t>
            </w:r>
            <w:r w:rsidR="00000000" w:rsidRPr="00000000" w:rsidDel="00000000">
              <w:rPr>
                <w:rtl w:val="0"/>
              </w:rPr>
              <w:t xml:space="preserve">29.2.</w:t>
            </w:r>
            <w:r w:rsidR="00000000" w:rsidRPr="00000000" w:rsidDel="00000000">
              <w:rPr>
                <w:rtl w:val="0"/>
              </w:rPr>
              <w:t xml:space="preserve">un </w:t>
            </w:r>
            <w:r w:rsidR="00000000" w:rsidRPr="00000000" w:rsidDel="00000000">
              <w:rPr>
                <w:rtl w:val="0"/>
              </w:rPr>
              <w:t xml:space="preserve">29.3. </w:t>
            </w:r>
            <w:r w:rsidR="00000000" w:rsidRPr="00000000" w:rsidDel="00000000">
              <w:rPr>
                <w:rtl w:val="0"/>
              </w:rPr>
              <w:t xml:space="preserve">apakšpunktos</w:t>
            </w:r>
            <w:r w:rsidR="00000000" w:rsidRPr="00000000" w:rsidDel="00000000">
              <w:rPr>
                <w:rtl w:val="0"/>
              </w:rPr>
              <w:t xml:space="preserve"> noteikto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21. punktu, nosakot, ka līdz ar projekta iesniegumu iesniedzams arī to personu saraksts, uz kuru saimnieciskās darbības rezultātu datiem tas balstās, lai apliecinātu atbilstību šo noteikumu 32.2. un 32.3. apakšpunktos minētajām prasībām. Vienlaikus lūdzam dzēst prasību par gada pārskatu iesniegšanu, ņemot vērā, ka gada pārskati ir publiski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dalībnieku sarakstu, norādot nosaukumu, reģistrācijas numuru un šo noteikumu 32.2. un 32.3. apakšpunktā minētos finanšu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iesnieguma vērtēšanu Aģentūra veic ne vēlāk kā divu kalendāro mēnešu laikā pēc projektu iesniegumu iesniegšanas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dzēst noteikumu projekta 19. punktu. Vēršam uzmanību, ka aģentūras lēmuma pieņemšanas termiņu šajā gadījumā nosaka Administratīvā procesa likums (kurā noteiktais termiņš administratīvā akta izdošanai ir īsāks).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21.5.1. projekta iesniedzēja un tā dalībnieku (savstarpēji nesaistītu sīko (mikro), mazo un vidējo, lielo komersantu), neskaitot pētniecības un zināšanu izplatīšanas organizācijas un pašvaldības, eksporta apjoms pēdējā noslēgtajā finanšu gadā  vai projekta iesniedzējs iesniedz atbalsta vēstuli par projekta nozīmību nozares attīstībā no nozares asociācijas, kas apvieno nozares saimnieciskās darbības veicējus, neskaitot pētniecības un zināšanu izplatīšanas organizācijas un pašvaldības, kopējais eksporta apjoms pēdējā noslēgtā finanšu gadā līdz projekta iesnieguma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21.5.1. un 21.5.2. apakšpunktus, kā arī projektu iesniegumu vērtēšanas kritērijus, skaidri definējot prasības attiecībā uz nozares asociāciju un tās sniegtās atbalsta vēstules nozīmi projektu iesniegumu vērtēšanā. Šī brīža redakcija nav viennozīmīga, jo tajā akcentēts vēstules iesniegšanas fakts, nevis nozares asociācijas atbilstība prasībām. Lūgums skaidri noteikt, ka vērtējams ir projekta iesniedzēja un tā dalībnieku, neskaitot pētniecības un zināšanu izplatīšanas organizācijas un pašvaldības, eksporta apjoms un apgrozījuma apjoms pēdējā noslēgtajā finanšu gadā vai nozares asociācijas, kas apvieno nozares saimnieciskās darbības veicējus, neskaitot pētniecības un zināšanu izplatīšanas organizācijas un pašvaldības, kura sniegusi atbalsta vēstuli, kopējais eksporta apjoms un apgrozījuma apjoms pēdējā noslēgtā finanšu gadā līdz projekta iesnieguma iesniegšanai, nevis vai projekta iesniedzējs iesniedz atbalsta vēstuli par projekta nozīmību nozares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gadījumā, ja izveidojas pieejamā Atveseļošanas fonda finansējuma atlikums, kas nav pietiekams secīgi nākamā kvalitatīvā projekta atbalstīšanai, tad atlikušo finansējumu piešķir, lai atbalstītu nākamo projekta iesniegumu ar augstāko vērtējumu saskaņā ar šo noteikumu </w:t>
            </w:r>
            <w:r w:rsidR="00000000" w:rsidRPr="00000000" w:rsidDel="00000000">
              <w:rPr>
                <w:rtl w:val="0"/>
              </w:rPr>
              <w:t xml:space="preserve">21.4. </w:t>
            </w:r>
            <w:r w:rsidR="00000000" w:rsidRPr="00000000" w:rsidDel="00000000">
              <w:rPr>
                <w:rtl w:val="0"/>
              </w:rPr>
              <w:t xml:space="preserve">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21.6. apakšpunktu, nodrošinot nepārprotamību par atbalstīšanas secību. Saskaņā ar noteikumu projekta 21.6.1. apakšpunktā minēto ir iespējams atbalstīt projektu arī nepilnā apmērā, taču šajā punktā norādīta pretrunīga kārtība, proti, ja kāda projekta atbalstīšanai finansējums nav pietiekams, atbalsta nākamo aiz tā. Aicinām noteikumu projekta 21.6.apakšpunktā dzēst vārdus "tad atlikušo finansējumu piešķir, lai atbalstītu nākamo projekta iesniegumu ar augstāko vērtējumu saskaņā ar šo noteikumu 21.4.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tā dalībnieki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 tajā neietver pētniecības un zināšanu izplatīšanas organizāciju un pašvaldību apgrozījumu;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iesniedzamās informācijas veidu un apjomu, kas apliecinātu nozares asociācijas atbilstību prasībām, proti, ka asociācijas apvieno nozares saimnieciskās darbības veicējus, kuru kopējais apgrozījums pēdējā noslēgtajā pārskata gadā ir vismaz 150 milj. euro un kopējais eksports ir vismaz 75 milj. euro pēdējā noslēgtajā pārskata gadā (piemēram, nozares asociācijas dalībnieku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partneris var iesaistīt citus komersantus vai pētniecības un zināšanu izplatīšanas organizācijas, kas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iesaistīti zinātnieki (doktori). Pētniecības projekta ietvaros piemērojami normatīvajos aktos par iepirkuma procedūru minētie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vēršam uzmanību</w:t>
            </w:r>
            <w:r w:rsidR="00000000" w:rsidRPr="00000000" w:rsidDel="00000000">
              <w:rPr>
                <w:rtl w:val="0"/>
              </w:rPr>
              <w:t xml:space="preserve">, ka no noteikumu projektā ir savstarpēji pretrunīgas normas attiecībā uz iepirkumiem piemērojamo regulējumu - šajā gadījumā 38.punkts paredz piemērot tikai normatīvos aktus par iepirkuma procedūru, bet citās normās attiecībā uz iepirkumu veikšanu paredzēts, ka piemērojams publisko iepirkumu regulējums. Turklāt šobrīd anotācijā ir skaidri norādīts: "MK noteikumu projekta ietvaros finansējuma saņēmējs un sadarbības partneris  preču piegādātāja vai pakalpojuma sniedzēja izvēlei piemēro Ministru kabineta 2017.gada 28.februāra noteikumu Nr.104 "Noteikumi par iepirkuma procedūru un tās piemērošanas kārtību pasūtītāja finansētiem projektiem" noteikto kārtību vai publiskā iepirkuma regulējuma nosacījumus, pārliecinoties, ka līdzfinansēto preču un pakalpojumu izmaksas atbilst tirgus cenai un nepastāv interešu konflikts piegādātāja vai pakalpojumu sniedzēja izvēlē vai publiskā iepirkuma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būtu nepieciešams sakārtot visas noteikumu projekta normas , kas skar iepirkumu veikšanas nosacījumus (t.sk. 38.punktu), tajās skaidri un nepārprotami, kā arī konsekventi, paredzot, ka iepirkums tiek veikts atbilstoši attiecīgajā gadījumā saistošajam regulējumam - noteikumiem par iepirkuma procedūru un tās piemērošanas kārtību pasūtītāja finansētiem projektiem </w:t>
            </w:r>
            <w:r w:rsidR="00000000" w:rsidRPr="00000000" w:rsidDel="00000000">
              <w:rPr>
                <w:b w:val="1"/>
                <w:rtl w:val="0"/>
              </w:rPr>
              <w:t xml:space="preserve">vai </w:t>
            </w:r>
            <w:r w:rsidR="00000000" w:rsidRPr="00000000" w:rsidDel="00000000">
              <w:rPr>
                <w:rtl w:val="0"/>
              </w:rPr>
              <w:t xml:space="preserve">publisko iepirkumu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projekta iesniedzējs darbojas kādā no neatbalstāmajām nozarēm saskaņā ar Komisijas Regulas Nr. 651/2014 1. panta 3. punktu un Komisijas Regulu Nr.1407/2013 1. panta 1. punktu un šo noteikumu </w:t>
            </w:r>
            <w:r w:rsidR="00000000" w:rsidRPr="00000000" w:rsidDel="00000000">
              <w:rPr>
                <w:rtl w:val="0"/>
              </w:rPr>
              <w:t xml:space="preserve">45.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un </w:t>
            </w:r>
            <w:r w:rsidR="00000000" w:rsidRPr="00000000" w:rsidDel="00000000">
              <w:rPr>
                <w:rtl w:val="0"/>
              </w:rPr>
              <w:t xml:space="preserve">47. </w:t>
            </w:r>
            <w:r w:rsidR="00000000" w:rsidRPr="00000000" w:rsidDel="00000000">
              <w:rPr>
                <w:rtl w:val="0"/>
              </w:rPr>
              <w:t xml:space="preserve">punktiem</w:t>
            </w:r>
            <w:r w:rsidR="00000000" w:rsidRPr="00000000" w:rsidDel="00000000">
              <w:rPr>
                <w:rtl w:val="0"/>
              </w:rPr>
              <w:t xml:space="preserve">, komercdarbības atbalstu drīkst piešķirt tikai tad, ja tiek skaidri nodalītas atbalstāmās darbības, gan ar to īstenošanu saistītās finanšu plūsmas no citu darbības nozaru darbībām un finanšu plūsmām, nodrošinot, ka darbības izslēgtajās nozarēs negūst labumu no komercdarbības atbalsta saskaņā ar Komisijas Regulas Nr. 651/2014 1. panta 3. punkta pēdējo rindkopu un Komisijas Regulu Nr.1407/2013 1.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46. punkts attiecas uz sadarbības partneriem, nevis projekta iesniedzēju, lūdzam precizēt noteikumu projekta 48. punktu, skaidri nosakot finanšu plūsmas nodalīšanas prasību attiecīgi uz projekta iesniedzēju un sadarbības partneri un tā darbībām atbalstāmajām un neatbalstāmajās nozarēs.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sadarbības partnerim attiecībā uz konkrēto pētniecības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49.1. apakšpunkta apakšpunktos iekļautās atsauces uz Komisijas Regulas Nr. 651/2014 25.panta 3.punkta apakšpunktiem, jo atsevišķas atsauces tiek lietotas nekorekti un piesauktās attiecināmās izmaksas neatbilst attiecīgajā regulas normā minētajām attiecināmajām izmaksām. Lūdzam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Atbalsts šo noteikumu </w:t>
            </w:r>
            <w:r w:rsidR="00000000" w:rsidRPr="00000000" w:rsidDel="00000000">
              <w:rPr>
                <w:rtl w:val="0"/>
              </w:rPr>
              <w:t xml:space="preserve">49.2.3. </w:t>
            </w:r>
            <w:r w:rsidR="00000000" w:rsidRPr="00000000" w:rsidDel="00000000">
              <w:rPr>
                <w:rtl w:val="0"/>
              </w:rPr>
              <w:t xml:space="preserve">apakšpunktā</w:t>
            </w:r>
            <w:r w:rsidR="00000000" w:rsidRPr="00000000" w:rsidDel="00000000">
              <w:rPr>
                <w:rtl w:val="0"/>
              </w:rPr>
              <w:t xml:space="preserve"> minēto izmaksu segšanai nav uzskatāms par komercdarbības atbalstu, ja finansējuma saņēmējs nodrošina projekta vadību, piemērojot šo noteikumu </w:t>
            </w:r>
            <w:r w:rsidR="00000000" w:rsidRPr="00000000" w:rsidDel="00000000">
              <w:rPr>
                <w:rtl w:val="0"/>
              </w:rPr>
              <w:t xml:space="preserve">78. </w:t>
            </w:r>
            <w:r w:rsidR="00000000" w:rsidRPr="00000000" w:rsidDel="00000000">
              <w:rPr>
                <w:rtl w:val="0"/>
              </w:rPr>
              <w:t xml:space="preserve">punktā</w:t>
            </w:r>
            <w:r w:rsidR="00000000" w:rsidRPr="00000000" w:rsidDel="00000000">
              <w:rPr>
                <w:rtl w:val="0"/>
              </w:rPr>
              <w:t xml:space="preserve"> minēto procedūru. Ja finansējuma saņēmējs nodrošina projekta vadību, tad šo noteikumu </w:t>
            </w:r>
            <w:r w:rsidR="00000000" w:rsidRPr="00000000" w:rsidDel="00000000">
              <w:rPr>
                <w:rtl w:val="0"/>
              </w:rPr>
              <w:t xml:space="preserve">49.2.2. </w:t>
            </w:r>
            <w:r w:rsidR="00000000" w:rsidRPr="00000000" w:rsidDel="00000000">
              <w:rPr>
                <w:rtl w:val="0"/>
              </w:rPr>
              <w:t xml:space="preserve">apakšpunktā</w:t>
            </w:r>
            <w:r w:rsidR="00000000" w:rsidRPr="00000000" w:rsidDel="00000000">
              <w:rPr>
                <w:rtl w:val="0"/>
              </w:rPr>
              <w:t xml:space="preserve"> minēto izmaksu segšana ir uzskatāma par komercdarbības atbalstu finansējuma saņēmējam, ko sniedz atbilstoši šo noteikumu </w:t>
            </w:r>
            <w:r w:rsidR="00000000" w:rsidRPr="00000000" w:rsidDel="00000000">
              <w:rPr>
                <w:rtl w:val="0"/>
              </w:rPr>
              <w:t xml:space="preserve">118.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nodoms noteikumu punkta redakcijai, proti, nav saprotams, kādi ir nosacījumi, lai atbalsts nekvalificētos kā komercdarbības atbalsts juridiskiem pakalpojumiem (MKN 49.2.3. apakšpunktā noteiktās izmaksas) un projekta vadības izmaksas (MKN 49.2.2. apakšpunktā noteiktās izmaksas). Skaidrojam, ka finansējuma saņēmēja līmenī tiek piešķirts komercdarbības atbalsts (piemērojot atbilstošu komercdarbības atbalsta regulējumu) - viss 49.2. punktā minētais atbalsts ir komercdarbības atbalsts finansējuma saņēmējam. Savukārt, iepirkuma procedūras piemērošanas rezultātā tiek izslēgta komercdarbības atbalsta piešķiršana preču un pakalpojumu sniedzēju līmenī (nevis finansējuma saņēmēja līmenī). Attiecīgi lūdzam dzēst šo noteikumu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saņēmēja attiecināmajās izmaksās iekļauj izmaksas tikai par tām pētniecības projekta aktivitātēm, kuras projekta noslēguma maksājuma pieprasījuma iesniegšanas dienā būs noslēgtas. Starpposma maksājuma pieprasījuma attiecināmajās izmaksās iekļauj atbilstoši projekta iesniegumam faktiski veiktos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netiek paredzēti maksājuma pieprasījumi, lūdzam visā MK noteikumu tekstā precizēt lietoto terminu uz "progresa pārskats".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76.1.1. pēc projekta iesnieguma saņemšanas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projekta iesnieguma iesniegšanas projekta iesniegums tiek vērtēts atbilstoši šo noteikumu 3. pielikumā esošajiem kritērijiem, kuros šobrīd nav paredzēta tādu aspektu kā interešu konflikta, krāpšanas u.tml vērtēšana. Vienlaikus nav saprotams, kādā griezumā interešu konflikts varētu tikt konstatēts, ņemot vērā, ka sadarbības partneru atlase tiks uzsākta tikai pēc projekta iesnieguma iesniegšanas – nepieciešamības gadījumā lūdzam papildināt 3. pielikumu ar atbilstošu kritēriju un iekļaut skaidrojumu anotācijā vai dzēst noteikumu projekta 76.1.1. apakšpunktu, ņemot vērā, ka vērtēšanas tvērums noteikts jau iepriekšējās šī noteikumu projekta nodaļās.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76.3. informēt nozares ministriju par komercdarbības atbalsta piešķiršanu un līguma par projekta īstenošanu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lai mazinātu administratīvo slogu. Visi dati par līguma grozījumiem katrā projektā ir pieejami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Investīcijas ietvaros izmaksas iespējams attiecināt līdz 2027.gada 31.decembrim. Ja finansējuma saņēmējam un sadarbības partnerim izmaksas rodas pēc 2027.gada 31.decembra, tad izmaksas tiek segtas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nosacījumu no iepriekšējās redakcijas - </w:t>
            </w:r>
            <w:r w:rsidR="00000000" w:rsidRPr="00000000" w:rsidDel="00000000">
              <w:rPr>
                <w:i w:val="1"/>
                <w:rtl w:val="0"/>
              </w:rPr>
              <w:t xml:space="preserve">šo noteikumu 7. punktā minētie rādītāji jāsasniedz līdz 2026. gada 30. jūnijam</w:t>
            </w:r>
            <w:r w:rsidR="00000000" w:rsidRPr="00000000" w:rsidDel="00000000">
              <w:rPr>
                <w:rtl w:val="0"/>
              </w:rPr>
              <w:t xml:space="preserve"> - lai tiktu aptverti visi MK noteikumu projektā noteiktie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Investīcijas ietvaros izmaksas iespējams attiecināt līdz 2027.gada 31.decembrim. Ja finansējuma saņēmējam un sadarbības partnerim izmaksas rodas pēc 2027.gada 31.decembra, tad izmaksas tiek segtas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izmaksu attiecināmības termiņu, ievērojot, ka projekta izdevumu veikšanas termiņš un investīciju ieviešanas termiņš ir līdz 2026.gada 31.augustam, kā arī to, ka CFLA funkcijas projektu uzraudzībai beidzas 2026.gada beigās, līdz ar noslēguma ziņojuma iesniegšanu 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81.1.5. uzraudzīt, lai pētniecības projektos tiktu izpildīti noteiktie starpposmu un gala rezultātu rādītāji līdz 2026. gada 30. jūnijam,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ir saprotams ar terminu "gala rezultātu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81.1.13. līdz 2027. gada 31. decembrim iesniegt Vadības informācijas sistēmā noslēguma maksājuma pieprasījumu par atlikušo summu, gadījumā, ja tiek sasniegti projekta ietvaros noteiktie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vadlīniju “Vadlīnijas informatīvā ziņojuma vai Ministru kabineta noteikumu izstrādei par Eiropas Savienības Atveseļošanas un noturības mehānisma plāna reformas vai investīcijas ieviešanu” 60. punktam nozares ministrijas ir aicinātas “MK noteikumos un informatīvajos ziņojumos noteikt, ka AF investīciju projekti ir jāīsteno un rādītāji ir jāsasniedz, pievienojot to sasniegšanu pamatojošo dokumentāciju, vēlākais līdz 2026.gada 30.jūnijam, lai līgumslēdzējs, nozares ministrija vai Valsts kanceleja varētu veikt visas nepieciešamās pārbaudes, noslēguma maksājumus un sagatavot nepieciešamo informāciju pārvaldības deklarācijas un audita kopsavilkuma sagatavošanai…”. CFLA aicina pārskatīt izvirzītos nosacījumus par pēdējo maksājuma pieprasījumu no FS puses 2027.gadā ņemt vērā arī, ka CFLA funkcijas un finansējums projektu uzraudzībai beidzas 2026.gada beigās, līdz ar noslēguma ziņojuma iesniegšanu 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81.2.3. iesniegt Aģentūrā apstiprināšanai maksājumu pieprasījumus atbilstoši līgumam par projekta īstenošanu,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sasniegtajiem rādītājiem, ne biežāk kā reizi ceturksnī, iekļaujot tikai tādus sadarbības partnera pētniecības projekta izdevumus, kuri ir faktiski izlietoti pētniecības projektā un kurus ir izvērtējis finansējuma saņēmējs un pētniecības projektu vērtēšanas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 atsevišķu projektu līmenī, apstiprinot progresa pārskatus, nevar būt noteikti sasniedzamie rādītāji atbilstoši 7.punktā noteiktajam kopējam investīcijas ietvaros sasniedzamajam finanšu rādītājam.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Aģentūrai, nozares ministrijai un finansējuma saņēmējam investīcijas īstenošanai un atbalsta sniegšanai komersantiem un uzraudzībai šo noteikumu ietvaros ir tiesības pieprasīt un saņemt informāciju no valsts informācijas sistēmām normatīvajos aktos par valsts informācijas sistēmām noteiktajā apjomā. Lai nodrošinātu pieeju datiem, Aģentūra, nozares ministrija vai finansējuma saņēmējs, ja nepieciešams, slēdz vienošanos ar attiecīgo valsts informācijas sistēmas, datubāzes un reģistra pārzini.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 Ievērojot minēto, lūdzam precizēt normu tā, lai būtu skaidri nodalīti subjekti un to pienākumi. No šī brīža normas redakcijas izriet, ka finansējuma saņēmējs arī sniedz atbalstu komersantiem, kas nav 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Finansējuma saņēmējs Aģentūrā iesniedz progresa pārskata iesniegšanas maksājuma grafiku, kas ir sadalīts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noteiktajiem rādītājiem. Finansējuma saņēmējs progresa pārskata iesniegšanas maksājuma grafiku sastāda ik pa 3 mēnešiem un iesniedz izskatīšanai Aģentūrai. Aģentūra pēc maksājuma pieprasījuma izskatīšanas veic maksājumu finansējuma saņēmējam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projekta maksājumu grafiks nevar būt piesaistīts kopējiem investīcijas rādītājiem - nav saprotams, kā aģentūra veiks maksājumus, izvērtējot 7.punktā noteiktos rādītājus un kā finansējuma saņēmējs veiks savu maksājumu prognozi attiecībā pret kopējiem investīcijas finanšu rādītājiem. Vienlaikus, lūdzam izvērtēt maksājuma grafika iesniegšanu ik pa 3 mēnešiem - līdz šim līgums ar finansējuma saņēmēju paredzēja, ka grafiks tiek iesniegts ar kārtējo progresa pārskatu vai pēc nepieciešamības.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Pēc sadarbības partneru pētniecības projektu iesniegumu saņemšanas, finansējuma saņēmējs izvērtē saņemto pētniecības projektu izmaksu tāmi un izmaksu pamatotību un atbilstību pētniecības projektam un iesniedz pētniecības projektu iesniegumus pētniecības projektu vērtēšanas komisijai. Pētniecības projektu vērtēšanas komisija izvērtē iesniegtā sadarbības partnera pētniecības projekta iesnieguma atbilstību šo noteikumu prasībām, kā arī izvērtē pētniecības projekta apraksta veidlapu. Finansējuma saņēmējs vērtē deklarāciju par komercsabiedrības atbilstību mazajai (sīkajai), vidējai vai lielai komercsabiedrībai.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noteikumus papildināt nosacījumu, ka sadarbības iestāde vērtē komercsabiedrības atbilstību mazajai (sīkajai), vidējai vai lielai komercsabiedrībai uz komercdarbības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Pētniecības projektu vērtēšanas komisijai ir šādi uzdevumi: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skaidrojot, kā pētniecības projektu vērtēšanas komisija pārliecināsies par pētniecības projekta piederību noteiktai pētniecības kategorijai (rūpnieciskie pētījumi / eksperimentālā izstrāde / tehniski ekonomiskā priekšizpēte), ja šo izvērtējumu neveiks zinātniskie eksperti. Vēršam uzmanību, ka dažādu pētniecības kategoriju darbībām (rūpnieciskie pētījumi / eksperimentālā izstrāde / tehniski ekonomiskā priekšizpēte) paredzēta atšķirīga atbalsta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sniegtais skaidrojums "pētniecības projekta lietderību un efektivitāti var izvērtēt, ja skatās konkrētu pētniecības kategoriju" neatbild uz uzdoto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Ja konstatēts, ka pētniecības projektu vērtēšanas komisijas dalībnieks atrodas interešu konfliktā vai netiek ievērots objektivitātes, caurspīdīguma vai vienlīdzības princips, vai konstatēta krāpšana vai korupcija, vai pastāv minēto pārkāpumu iestāšanās risks, tad finansējuma saņēmējs izslēdz šo dalībnieku no pētniecības projektu vērtēšanas komisijas sastāva un, ja nepieciešams, aizvieto to ar citu dalībnieku, lai nodrošinātu kvorumu.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110.punkts dublējas ar 112.punktu, lūdzam dzēst vienu no šiem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Interešu konflikts ar finansējuma saņēmēja kapitāldaļu turētājiem vai biedriem nav konstatējams,  ja pastāv kāds no šiem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Šādai interešu konflikta definīcijai CFLA piekrīt tikai gadījumā, ja Eiropas Komisija apstiprina šādu pieeju. Ņemot vērā, ka Eiropas Komisija uz šo brīdi šādu pieeju nav apstiprinājusi, lūdzam izvērtēt šādas interešu konflikta definīcijas iekļaušanu MK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Pētniecības un zināšanu izplatīšanas organizācijas pārstāvis var tikt iesaistīts pētniecības projektu vērtēšanas komisijā un var vērtēt savas pārstāvošās iestādes cita departamenta iesniegto pētniecības projektu, ievērojot interešu konflikta neesību.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Šādai interešu konflikta definīcijai CFLA piekrīt tikai gadījumā, ja Eiropas Komisija apstiprina šādu pieeju. Ņemot vērā, ka Eiropas Komisija uz šo brīdi šādu pieeju nav apstiprinājusi, lūdzam izvērtēt šādas interešu konflikta definīcijas iekļaušanu MK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iesniegt izskatīšanai kritēriju metodikas melnrakstu, lai sniegtu visaptverošus komentārus par noteikumu projekta pielikumā ietverto kritēriju 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iekļaut arī Nacionālo industriālās politikas pamatnostādņu vai citu plānošanas dokumentu kvantitatīvus mērķus, kuriem pienesumu sniegs investīcijas pasākums. Tāpat nevaram piekrist izziņā norādītajam, ka investīcijas pasākuma ieguldījumiem nav paredzēts veicināt klimata dimensijas mērķus, jo pasākums iekļauts AF plāna 1.komponentē "Klimata pārmaiņas un vides ilgtspēja".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II.sadaļā "Attiecināmās izmaksas un izmaksas, kas netiek segtas no Atveseļošanas fonda līdzekļiem" minēts, ka "Pētniecības projekta ietvaros ir attiecināmas šādas izmaksas, kas radušās pēc pētniecības projekta iesnieguma iesniegšanas finansējuma saņēmējam, atbilstoši MK noteikumu 49.1. apakšpunktam:", savukārt, anotācijas VI.sadaļā "Investīcijas īstenošanas nosacījumi" minēts, ka "Komercdarbības atbalsts tiek sniegts tādām projekta iesnieguma darbībām, kas tiek uzsāktas pēc projekta iesnieguma iesniegšanas dienas Vadības informācijas sistēmā, ko vērtē Aģentūra. Izmaksas ir attiecināmas no projekta iesnieguma iesniegšanas dienas Vadības informācijas sistēmā", kas ir saskaņā ar noteikumu 40.punktā minēto. Attiecīgi lūdzam precizēt anotāciju atbilstoši noteikumos minētajam.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Aģentūras lēmumu kopijas, ar kuriem apstiprināti projekti, piešķirts finansējums un nodrošināta atbilstība principam “nenodarīt būtisku kaitējumu” piemērošana saskaņā ar Eiropas Parlamenta un Padomes 2021. gada 12. februāra Regulas (ES) 2021/241, ar ko izveido Atveseļošanas un noturības mehānismu (turpmāk - Regula Nr. 2021/241) 2. panta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ar kuriem aģentūras lēmumiem plānots nodrošināt atbilstību principa "nenodarīt būtisku kaitējumu" piemērošanai, vai lūdzam precizēt punkta redakciju. Vēršam uzmanību, ka šībrīža shēm paredz, ka par pētniecības projektu atbilstību "nenodarīt būtisku kaitējumu" principam pārliecinās finansējuma saņēmējs, nevis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ietvaros nozares ministrija ir atbildīga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 Finansējuma saņēmējs ir atbildīgs par projekta ietvaros noteikto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13.punktu ar atsauci uz  noteikumu projekta punktu, kurā noteikti rādītāji, par kuru sasniegšanu ir atbildīgs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w:t>
            </w:r>
            <w:r w:rsidR="00000000" w:rsidRPr="00000000" w:rsidDel="00000000">
              <w:rPr>
                <w:i w:val="1"/>
                <w:rtl w:val="0"/>
              </w:rPr>
              <w:t xml:space="preserve">de minimis</w:t>
            </w:r>
            <w:r w:rsidR="00000000" w:rsidRPr="00000000" w:rsidDel="00000000">
              <w:rPr>
                <w:rtl w:val="0"/>
              </w:rPr>
              <w:t xml:space="preserve"> atbalsta uzskaites sistēmā sagatavoto veidlapas “Veidlapa par sniedzamo informāciju </w:t>
            </w:r>
            <w:r w:rsidR="00000000" w:rsidRPr="00000000" w:rsidDel="00000000">
              <w:rPr>
                <w:i w:val="1"/>
                <w:rtl w:val="0"/>
              </w:rPr>
              <w:t xml:space="preserve">de minimis </w:t>
            </w:r>
            <w:r w:rsidR="00000000" w:rsidRPr="00000000" w:rsidDel="00000000">
              <w:rPr>
                <w:rtl w:val="0"/>
              </w:rPr>
              <w:t xml:space="preserve">atbalsta uzskaitei un piešķiršanai” izdruku;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Ministru kabineta 2018. gada 21. novembra noteikumu Nr. 715 "Noteikumi par de minimis atbalsta uzskaites un piešķiršanas kārtību un de minimis atbalsta uzskaites veidlapu paraugiem" 21. punktam atbalsta pretendentam, iesniedzot atbalsta sniedzējam pieteikumu de minimis atbalsta saņemšanai, pieteikumam ir iespēja pievienot sistēmā sagatavotās veidlapas (1. pielikums) izdruku vai norādīt sistēmā izveidotās un apstiprinātās pretendenta veidlapas identifikācijas numuru, aicinām izvērtēt iespēju paredzēt projekta iesniedzējam norādīt de minimis atbalsta uzskaites sistēmā izveidotās un apstiprinātās pretendenta veidlapas identifikācijas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atbalsta uzskaites sistēmā sagatavoto veidlapas “Veidlapa par sniedzamo informāciju de minimis atbalsta uzskaitei un piešķiršanai” izdruku (attiecināms, ja projekta iesniegumā netiek norādīts sistēmā izveidotās un apstiprinātās pretendenta veidlapas identifikācijas numurs).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21.5.1. projekta iesniedzēja un tā dalībnieku (savstarpēji nesaistītu sīko (mikro), mazo un vidējo, lielo komersantu), neskaitot pētniecības un zināšanu izplatīšanas organizācijas un pašvaldības, eksporta apjoms pēdējā noslēgtajā finanšu gadā  vai projekta iesniedzējs iesniedz atbalsta vēstuli par projekta nozīmību nozares attīstībā no nozares asociācijas, kas apvieno nozares saimnieciskās darbības veicējus, neskaitot pētniecības un zināšanu izplatīšanas organizācijas un pašvaldības, kopējais eksporta apjoms pēdējā noslēgtā finanšu gadā līdz projekta iesnieguma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ir jābūt skaidrai, lai tās lietotājs un piemērotājs gūtu nepārprotamu priekšstatu par normā ietvertajiem pienākumiem un tiesībām. Ievērojot minēto, lūdzam redakcionāli precizēt noteikumu projekta 21.5.1. punktu, svītrojot no punktu beigām vārdus "kopējais eksporta apjoms pēdējā noslēgtajā finanšu gadā līdz projekta iesnieguma iesniegšanai".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21.5.2. projekta iesniedzēja un tā dalībnieku (savstarpēji nesaistītu sīko (mikro), mazo un vidējo, lielo komersantu), neskaitot pētniecības un zināšanu izplatīšanas organizācijas un pašvaldības, apgrozījuma apjoms pēdējā noslēgtā finanšu gadā vai projekta iesniedzējs iesniedz atbalsta vēstuli par projekta nozīmību nozares attīstībā no nozares asociācijas, kas apvieno nozares saimnieciskās darbības veicējus, neskaitot pētniecības un zināšanu izplatīšanas organizācijas un pašvaldības, kuru kopējais apgrozījuma apjoms pēdējā noslēgtajā finanšu gadā līdz projekta iesnieguma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ir jābūt skaidrai, lai tās lietotājs un piemērotājs gūtu nepārprotamu priekšstatu par normā ietvertajiem pienākumiem un tiesībām. Ievērojot minēto, lūdzam redakcionāli precizēt noteikumu projekta 21.5.2. punktu, svītrojot no punktu beigām vārdus "kuru kopējais apgrozījuma apjoms pēdējā noslēgtajā finanšu gadā līdz projekta iesnieguma iesniegšanai".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21.6.1. ja projekta iesniegumu nevar atbalstīt pieprasītā finansējuma apmērā, tad Aģentūra piedāvā projektu īstenot ar samazinātu Atveseļošanas fonda finansējumu. Ja projekta iesniedzējs piecu darbdienu laikā no lēmuma paziņošanas nav apstiprinājis gatavību iesaistei projektā, tas zaudē tiesības pretendēt uz dalību attiecīgā projektu iesniegumu atlasē;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projekta 21.6.1. punkta 2. teikumu, nosakot, ka, ja projekta iesniedzējs piecu darbdienu laikā no lēmuma paziņošanas nav apstiprinājis gatavību iesaistei projektā ar samazinātu Atveseļošanas fonda finansējumu, tas zaudē tiesības pretendēt uz dalību attiecīgā projektu iesniegumu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projekta iesniedzējs vai persona, kura ir projekta iesniedzēja valdes vai komisijas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31.1.7. un 31.1.8. apakšpunktu, lai nodrošinātu atbilstību Eiropas Savienības fondu 2021.-2027.gada plānošanas perioda vadības likuma 22. pantā noteiktajiem izslēgšanas kritērijiem, kas nacionāli pārņemti no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partneris pētniecības projekta īstenošanā iesaistās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normatīvajos aktos par iepirkuma procedūru minētie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normā minēto jēdzienu "normatīvie akti par iepirkuma procedūru", lietojot pilnu apzīmējumu, piemēram,  "normatīvie akti par iepirkuma procedūru un tās piemērošanas kārtību pasūtītāja finansētiem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Šīs investīcijas ietvaros par atbalstāmām darbībām netiek uzskatītas un Atveseļošanas fonda finansējumu nepiešķir: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kompetences centru projektu īstenošanas praksi, kur praktiski vienmēr izpildās 44. punkta nosacījumi, lūdzam izskatīt 43. punkta lietderību.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Sadarbības partneris nodrošina un finansējuma saņēmējs pārliecinās, ka līdzfinansēto preču un pakalpojumu izmaksas atbilst tirgus cenai un nepastāv interešu konflikts piegādātāja vai pakalpojumu sniedzēja izvēlē. Īstenojot pētniecības projektu un projektu, sadarbības partneris vai finansējuma saņēmējs izvēlas preču piegādātāju vai pakalpojuma sniedzēju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komentāru pie noteikumu projekta 38.punkta un kopumā sakārtot noteikumu projektā paredzēto iepirkumu veikšanas regulējumu, lai būtu nepārprotami skaidrs, kāds regulējums iepirkumiem noteikumu projekta ietvarā ir piemērojams.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Nozares ministrijai ir tiesības pieprasīt piekļuvi Valsts ieņēmumu dienesta datu bāzē esošajiem datiem, lai nodrošinātu šo noteikumu </w:t>
            </w:r>
            <w:r w:rsidR="00000000" w:rsidRPr="00000000" w:rsidDel="00000000">
              <w:rPr>
                <w:rtl w:val="0"/>
              </w:rPr>
              <w:t xml:space="preserve">74.1.</w:t>
            </w:r>
            <w:r w:rsidR="00000000" w:rsidRPr="00000000" w:rsidDel="00000000">
              <w:rPr>
                <w:rtl w:val="0"/>
              </w:rPr>
              <w:t xml:space="preserve">, </w:t>
            </w:r>
            <w:r w:rsidR="00000000" w:rsidRPr="00000000" w:rsidDel="00000000">
              <w:rPr>
                <w:rtl w:val="0"/>
              </w:rPr>
              <w:t xml:space="preserve">74.3.</w:t>
            </w:r>
            <w:r w:rsidR="00000000" w:rsidRPr="00000000" w:rsidDel="00000000">
              <w:rPr>
                <w:rtl w:val="0"/>
              </w:rPr>
              <w:t xml:space="preserve"> un </w:t>
            </w:r>
            <w:r w:rsidR="00000000" w:rsidRPr="00000000" w:rsidDel="00000000">
              <w:rPr>
                <w:rtl w:val="0"/>
              </w:rPr>
              <w:t xml:space="preserve">74.8. </w:t>
            </w:r>
            <w:r w:rsidR="00000000" w:rsidRPr="00000000" w:rsidDel="00000000">
              <w:rPr>
                <w:rtl w:val="0"/>
              </w:rPr>
              <w:t xml:space="preserve">apakšpunktos</w:t>
            </w:r>
            <w:r w:rsidR="00000000" w:rsidRPr="00000000" w:rsidDel="00000000">
              <w:rPr>
                <w:rtl w:val="0"/>
              </w:rPr>
              <w:t xml:space="preserve"> minēto pienākumu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74.1., 74.3. un 74.8. apakšpunktos minēto pienākumu izpildei nepieciešami visi noteikumu projekta 75. punkta apakšpunktos uzskaitītie dati. Kā arī ņemot vērā noteikumu projekta 75.5. apakšpunktā noteikto, aicinām noteikumu projektu saskaņot ar Datu valsts inspekciju, un papildināt anotācijas 8.1.13.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76.1.2. pēc sadarbības partneru pētniecības projektu izvērtējuma saņemšanas no pētniecības projektu vērtēšanas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76.1.2. un 76.1.3. punktos norādītie procesi nav nodalāmi - sadarbības partneru pētniecības izvērtējumi tiek iesniegti un izskatīti kopā ar līguma grozījumiem - lūdzam apvienot abus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76.1.3. pirms līguma grozījumu ar kuriem pievienoti sadarbības partneri apstiprināšanas vai pētniecības projektu vērtēšanas komisijas sastāva izmaiņu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konflikts tiek izvērtēts arī pirms starpposma maksājumu veikšanas, kur attiecīgi izdevumus ir apstiprinājusi projektu vērtēšanas komisija - interešu konflikts šajā posmā tiek izvērtēts neatkarīgi no tā, vai ir notikušas izmaiņas projektu vērtēšanas komisijā, jo šajā posmā tiek iesaistīti jauni sadarbības partneri / ārpakalpojumu sniedzēji, kādēļ komisijas saistības ir vērtējamas atkāroti. Lūdzam pievienot punktu par interešu konflikta pārbaudi arī šajā projektu uzraudzības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81.1.9. ievērot interešu konflikta novēršanas principus saskaņā ar Komisijas Regulas Nr. 2018/1046 61. pantu, caurspīdīguma un vienlīdzības principus, vienlaikus novēršot korupciju, krāpšanu un dubulto finansējumu, ja nepieciešams, veicot atbilstošus korekcijas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finansējuma saņēmējs paraksta apliecinājumu par interešu konflikta neesamību attiecībā uz finansējuma saņēmēja īstenoto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81.2.18. veikt komercdarbības atbalsta nosacījumu priekšizvērtējumu pirms šo noteikumu </w:t>
            </w:r>
            <w:r w:rsidR="00000000" w:rsidRPr="00000000" w:rsidDel="00000000">
              <w:rPr>
                <w:rtl w:val="0"/>
              </w:rPr>
              <w:t xml:space="preserve">100. </w:t>
            </w:r>
            <w:r w:rsidR="00000000" w:rsidRPr="00000000" w:rsidDel="00000000">
              <w:rPr>
                <w:rtl w:val="0"/>
              </w:rPr>
              <w:t xml:space="preserve">punktā</w:t>
            </w:r>
            <w:r w:rsidR="00000000" w:rsidRPr="00000000" w:rsidDel="00000000">
              <w:rPr>
                <w:rtl w:val="0"/>
              </w:rPr>
              <w:t xml:space="preserve">  minētā atbalstīto pētniecības projektu saraksta iesniegšanas Aģentūrai, priekšizvērtējuma sagatavošanai pieprasīt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kādām informācijas sistēmām, datiem plānots piekļūt, un kāds ir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Projekta īstenošanas laikā finansējuma saņēmējs pie starpposma maksājuma var saņemt ātrāku maksājumu bez bankas garantijas līdz 75 procentiem no Aģentūrai iesniegtā maksājuma pieprasījuma, pirms Aģentūra ir pabeigusi attiecīgā maksājuma pieprasījuma izvērtēšanu. Ātrāka maksājuma apjomu Aģentūra nosaka, izvērtējot projekta risku, tai skaitā ņemot vērā statistiku par to, kāda daļa no finansējuma saņēmēja iepriekš iesniegtajiem maksājuma pieprasījumiem pēc Aģentūras veiktajām pārbaudēm tika atzīta par atbilstošu un attiecīgi veikta izmaksa.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ietvaros ātrāks maksājums netiek paredzēts, lūdzam dzēst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99.1. ja finansējuma saņēmējs nepilda līguma vai vienošanās par projekta īstenošanu, tai skaitā netiek ievēroti projektā noteiktie termiņi vai ir iestājušies citi apstākļi, kas negatīvi ietekmē vai var ietekmēt investīcijas vai noteikto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99.1. apakšpunktā vārdus "vai vienošanās", ņemot vērā projekta iesniedzēju juridisko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var iekļaut šādus dalībniekus: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Izsakot punktu šobrīd piedāvātajā redakcijā, iespējams būtu lietderīgi papildināt šo punktu ar 101.2.5. punktu, ka komisijā var iekļaut arī zinātniskā virziena vadītājus, ņemot vērā, ka dažiem no kompetences centriem ir iespējams piesaistīt zinātniskā virziena vadītāju, kuram nav interešu konflikta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pielikuma sākuma tabulā precizēt investīcijas pasākuma finansējumu atbilstoši MK noteikumu projektā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6.lpp. tabulā precizēt, ka 36 000 000 euro ir daļa no 12.rādītāja, kā arī sniegt atsauci uz CID (Padomes īstenošanas lēmuma)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investīcijas pasākuma sasaisti un ietekmi uz reformu un investīciju virziena 1.2. mērķiem atbilstoši AF plānā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kārtējo (n) gadu norādīt 2023.gadu, attiecīgi precizējot atspoguļoto ietekmi uz budžetu, kā arī 6.punktu papildināt ar informāciju par finansējuma sadalījumu pa gadiem.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17.11.2023.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17.11.2023.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Atzinumi_22-TA-3544.docx</dc:title>
</cp:coreProperties>
</file>

<file path=docProps/custom.xml><?xml version="1.0" encoding="utf-8"?>
<Properties xmlns="http://schemas.openxmlformats.org/officeDocument/2006/custom-properties" xmlns:vt="http://schemas.openxmlformats.org/officeDocument/2006/docPropsVTypes"/>
</file>