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24-TA-1656: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Autoceļu lietošanas nodevas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utoceļu lietošanas nodevas likuma</w:t>
            </w:r>
            <w:r w:rsidR="00000000" w:rsidRPr="00000000" w:rsidDel="00000000">
              <w:rPr>
                <w:rtl w:val="0"/>
              </w:rPr>
              <w:t xml:space="preserve">2. pielikums</w:t>
            </w:r>
            <w:r w:rsidR="00000000" w:rsidRPr="00000000" w:rsidDel="00000000">
              <w:rPr>
                <w:rtl w:val="0"/>
              </w:rPr>
              <w:t xml:space="preserve">
</w:t>
            </w:r>
            <w:r w:rsidR="00000000" w:rsidRPr="00000000" w:rsidDel="00000000">
              <w:rPr>
                <w:rtl w:val="0"/>
              </w:rPr>
              <w:t xml:space="preserve">Autoceļu lietošanas nodevas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Transportlīdzekļiem ar pilnu masu no 3001 līdz 3500 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Transportlīdzekļiem un to sastāviem ar pilnu masu no 3501 kg līdz 12 000 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Transportlīdzekļiem un to sastāviem ar pilnu masu no 12 001 kg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2.pielikuma 3.tabulu, lai skaidri būtu saprotams, kādas bezemisiju transportlīdzekļiem ir piemērojamas autoceļu lietošanas nodevas likmes atkarībā no transportlīdzekļa un tā sastāvā asu skaita. Pēc 3.tabulas redakcijas var saprast, ka bezemisiju transportlīdzeklim vienas dienas autoceļu  lietošanas nodevas likme varbūt gan 6 </w:t>
            </w:r>
            <w:r w:rsidR="00000000" w:rsidRPr="00000000" w:rsidDel="00000000">
              <w:rPr>
                <w:i w:val="1"/>
                <w:rtl w:val="0"/>
              </w:rPr>
              <w:t xml:space="preserve">euro</w:t>
            </w:r>
            <w:r w:rsidR="00000000" w:rsidRPr="00000000" w:rsidDel="00000000">
              <w:rPr>
                <w:rtl w:val="0"/>
              </w:rPr>
              <w:t xml:space="preserve">, gan 7</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noteiktas pozitīvas autoceļu lietošanas nodevas likmes bezemisiju transportlīdzekļiem, aicinām precizēt arī nodevas fiskālas ietekmes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3.punkta sadaļu “cita informācija” ar sekojošo: "Prognozētais ieņēmumu palielinājums ir iekļauts likumprojektā "Par valsts budžetu 2025.gadam un budžeta ietvaru 2025., 2026. un 2027.gadam" atbilstoši informatīvajā ziņojumā "Par valsts budžeta likumprojektā iekļaujamajiem prioritārajiem pasākumiem 2025., 2026., 2027. un 2028.gadam" (izskatīts Ministru kabineta 2024.gada 19.septembra sēdē (prot.Nr.38, 2.§, 18.punkts)) iekļautajām prognozēm".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Veinbergs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24-TA-1656</w:t>
    </w:r>
    <w:r>
      <w:br/>
    </w:r>
    <w:r w:rsidR="00000000" w:rsidRPr="00000000" w:rsidDel="00000000">
      <w:rPr>
        <w:rtl w:val="0"/>
      </w:rPr>
      <w:t xml:space="preserve">Izdrukāts 07.10.2024.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24-TA-1656</w:t>
    </w:r>
    <w:r>
      <w:br/>
    </w:r>
    <w:r w:rsidR="00000000" w:rsidRPr="00000000" w:rsidDel="00000000">
      <w:rPr>
        <w:rtl w:val="0"/>
      </w:rPr>
      <w:t xml:space="preserve">Izdrukāts 07.10.2024.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Atzinumi_24-TA-1656.docx</dc:title>
</cp:coreProperties>
</file>

<file path=docProps/custom.xml><?xml version="1.0" encoding="utf-8"?>
<Properties xmlns="http://schemas.openxmlformats.org/officeDocument/2006/custom-properties" xmlns:vt="http://schemas.openxmlformats.org/officeDocument/2006/docPropsVTypes"/>
</file>