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"Risinājuma apraksta" 3.punktā un MK sēdes protokollēmuma projekta 7. punktā ir minēts, ka Labklājības ministrijai jāiesniedz Ministru kabinetā priekšlikumus rīcībai gadījumā, ja netiek saņemts pozitīvs Eiropas Komisijas lēmums par Atveseļošanas fonda plāna grozījumu priekšlikumiem, kas paredz atskaites punktu sasniegšanu šī protokollēmuma 6. punktā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to vērā, lūdzam papildināt anotāciju ar skaidrojumu, vai grozījumus līgumos un vienošanās var sākt veikt pirms tiek saņemts pozitīvs Eiropas Komisijas lēmums par AF plāna grozījumu priekšlikumiem, kā arī lūdzam aprakstīt rīcību gadījumos, kad grozījumi līgumos un vienošanās ir veikti, bet Eiropas Komisijas lēmums par AF plāna grozījumu priekšlikumiem ir negatīvs.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3.punktā valsts budžeta finansējums plānots 422 855 </w:t>
            </w:r>
            <w:r w:rsidR="00000000" w:rsidRPr="00000000" w:rsidDel="00000000">
              <w:rPr>
                <w:i w:val="1"/>
                <w:rtl w:val="0"/>
              </w:rPr>
              <w:t xml:space="preserve">euro</w:t>
            </w:r>
            <w:r w:rsidR="00000000" w:rsidRPr="00000000" w:rsidDel="00000000">
              <w:rPr>
                <w:rtl w:val="0"/>
              </w:rPr>
              <w:t xml:space="preserve">, savukārt anotācijas 3.sadaļas 3.1.apakšpunktā, saskaitot ailēs: 2.-5. un 7.-8. norādīto finansējumu, veidojas 422 852 </w:t>
            </w:r>
            <w:r w:rsidR="00000000" w:rsidRPr="00000000" w:rsidDel="00000000">
              <w:rPr>
                <w:i w:val="1"/>
                <w:rtl w:val="0"/>
              </w:rPr>
              <w:t xml:space="preserve">euro</w:t>
            </w:r>
            <w:r w:rsidR="00000000" w:rsidRPr="00000000" w:rsidDel="00000000">
              <w:rPr>
                <w:rtl w:val="0"/>
              </w:rPr>
              <w:t xml:space="preserve">. Ņemot vērā minēto, lūdzam salāgot anotācijā, noteikumu projektā un MK sēdes protokollēmuma projektā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Labklājības ministrijai palielināt Atveseļošanas un noturības mehānisma plāna 3.1.2.r reformas “Sociālo un nodarbinātības pakalpojumu pieejamība minimālo ienākumu reformas atbalstam” 3.1.2.1.i. investīcijas “Publisko pakalpojumu un nodarbinātības pieejamības veicināšanas pasākumi cilvēkiem ar funkcionāliem traucējumiem” pirmās kārtas “Valsts un pašvaldību ēku vides pieejamības nodrošināšanas pasākumi” (turpmāk – pasākums) īstenošanai nepieciešamo papildu finansējumu 2 758 196 </w:t>
            </w:r>
            <w:r w:rsidR="00000000" w:rsidRPr="00000000" w:rsidDel="00000000">
              <w:rPr>
                <w:i w:val="1"/>
                <w:rtl w:val="0"/>
              </w:rPr>
              <w:t xml:space="preserve">euro</w:t>
            </w:r>
            <w:r w:rsidR="00000000" w:rsidRPr="00000000" w:rsidDel="00000000">
              <w:rPr>
                <w:rtl w:val="0"/>
              </w:rPr>
              <w:t xml:space="preserve"> apmērā, ja saņemts pozitīvs Eiropas Komisijas viedoklis par iesniegtajiem Latvijas Atveseļošanas un noturības mehānisma plāna grozījumiem attiecībā uz konkrēto pasākumu, pirms galīgā Eiropas Komisijas lēmuma pieņemšanas izdevumus priekšfinansējot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protokollēmumā 3.punktā svītrot vārdu "fonda" pēc vārda "mehānisma". Skaidrojam, ka fonda nosaukums ir "Atveseļošanas un noturības mehānisms" jeb Atveseļošanas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2024. gada 30. jūnijam – līgumu slēgšanas tiesību piešķiršana, lai nodrošinātu piekļuvi publiskām telpām valsts un pašvaldību ēkās;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atskaites punktu termiņi var būt noteikti tikai pēc Eiropas Komisijas (turpmāk- EK) lēmuma par Atveseļošanas fonda plāna grozījumu priekšlikumiem tāpat kā jautājumā par Atveseļošanas fonda finansējumu, līdz ar to lūdzam izvērtēt iespēju papildināt 7.2. un 7.3. apakšpunktus ar atrunu par EK lēmumu par Atveseļošanas fonda plāna grozījumu priekšlikumiem, kā arī attiecīgi precizēt anotāciju un MK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2022. gada 31. decembrim (pēc Eiropas Komisijas lēmuma par Atveseļošanas fonda plāna grozījumu priekšlikumiem - līdz 2024. gada 30. jūnijam) – līgumu slēgšanas tiesību piešķiršana, lai nodrošinātu piekļuvi publiskām telpām valsts un pašvaldību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līdz 2024. gada 31. decembrim (pēc Eiropas Komisijas lēmuma par Atveseļošanas fonda plāna grozījumu priekšlikumiem - līdz 2026. gada 30. jūnijam) – būvniecības pabeigšana, lai nodrošinātu piekļuvi publiskām telpām 63 valsts un pašvaldību ēkās.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12.05.2023.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12.05.2023.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