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gaisa kuģu lidojumu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10.panta otrā daļā noteic, ka ievērojot labas pārvaldības principu, iestāde pēc savas iniciatīvas nodrošina piekļuvi noteikta veida vispārpieejamai informācijai, savukārt (21) daļa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Ģeotelpiskās informācijas likuma 17.panta pirmās daļas 10.punkts noteic, ka ģeotelpiskās informācijas pamatdatos ietilpst arī tāda ģeotelpiskās informācija kā par gaisa trasēm, gaisakuģu lidojumu zonām, gaisakuģu lidojumu drošībai bīstamiem objektiem un šķēršļiem.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bezpilota gaisa kuģu lidojumiem ir publiski pieejama un dati ir pieejami bez maksas, uzskatām, ka ievērojot Informācijas atklātības likumā noteikto Latvijas gaisa satiksmei informācija par UAS ģeogrāfiskām zonām būtu publicējama atvērto datu veidā Latvijas Atvērto datu portālā data.gov.lv un Valsts vienotā ģeotelpiskās informācijas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26.02.2024. 23.35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26.02.2024. 23.35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Atzinumi_23-TA-2737.docx</dc:title>
</cp:coreProperties>
</file>

<file path=docProps/custom.xml><?xml version="1.0" encoding="utf-8"?>
<Properties xmlns="http://schemas.openxmlformats.org/officeDocument/2006/custom-properties" xmlns:vt="http://schemas.openxmlformats.org/officeDocument/2006/docPropsVTypes"/>
</file>