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24-TA-1408: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“Par jauna akadēmiskās karjeras ietvara ieviešanu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jauna akadēmiskās karjeras ietvara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Respektējot to, ka precizētajā konceptuālā ziņojuma projektā akadēmiskā personāla darba samaksas jautājumi vairs netiek risināti, un attiecīgi tajā nav paredzēta pāreja no minimālo darba algas likmju noteikšanas uz vidējās darba samaksas noteikšanu, LIZDA pastāv uz iepriekš minēto - augstskolu pedagogiem nepieciešams turpināt minimālo darba algas likmju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nav rasti risinājumi, lai nodrošinātu pedagogu, t.sk., augstskolu pedagogu, darba samaksas turpmāku pieaugumu, nav risinājumi pedagogu zemākās darba samaksas turpmākajam pieaugumam.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ka viens no risinājumiem – pedagogu, t.sk., augstskolu pedagogu, iekļaušana vienotā valsts pārvaldes atalgojuma sistēmā, tādejādi veicinot darba samaksas pieaugumu un nodarbinātības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Štefenhagena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29.09.2025.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29.09.2025.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Atzinumi_24-TA-1408.docx</dc:title>
</cp:coreProperties>
</file>

<file path=docProps/custom.xml><?xml version="1.0" encoding="utf-8"?>
<Properties xmlns="http://schemas.openxmlformats.org/officeDocument/2006/custom-properties" xmlns:vt="http://schemas.openxmlformats.org/officeDocument/2006/docPropsVTypes"/>
</file>