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un sekmējot profesionālo mobilitāti" 4.2.4.1. pasākuma "Atbalsts nozaru vajadzībās balstītai pieaugušo izglītībai"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(turpmāk - EM) iestrādāt noteikumu projektā, anotācijā un Ministru kabineta (turpmāk - MK) sēdes protokollēmuma projektā Finanšu ministrijas izteiktos komentārus, kas nosūtīti EM elektroniskajā pastā š.g. 12.jūnijā.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mācību sniedzējs - juridiska vai fiziska persona, kas nodrošina mācību pakalpojuma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 anotāciju ar regulējumu, kas paredz, kā tiek atlasīts mācību sniedzējs. Piemēram, vai tas ir uz iepirkuma pamata atlasīts pakalpojuma sniedzējs, vai tas ir sadarbības partneris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14 508 130 euro (tostarp elastības finansējums 2 289 021 euro), tai skaitā Eiropas sociālā fonda + (turpmāk - ESF+) finansējums 12 331 910 euro (tostarp elastības finansējums 1 945 668 euro) un valsts budžeta līdzfinansējums – 2 176 220 euro (tostarp elastības finansējums 343 353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5.punktu ar nosacījumu, ka maksimālais ESF+ finansējuma apmērs nepārsniedz 85 % no projekta kopējā attiecināmā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pirmās kārtas ietvaros plānotais kopējais attiecināmais finansējums ir 14 508 130 euro (tostarp elastības finansējums 2 289 021 euro), tai skaitā Eiropas sociālā fonda + (turpmāk - ESF+) finansējums 12 331 910 euro (tostarp elastības finansējums 1 945 668 euro) un valsts budžeta līdzfinansējums – 2 176 220 euro (tostarp elastības finansējums 343 353 euro). </w:t>
            </w:r>
            <w:r w:rsidR="00000000" w:rsidRPr="00000000" w:rsidDel="00000000">
              <w:rPr>
                <w:b w:val="1"/>
                <w:rtl w:val="0"/>
              </w:rPr>
              <w:t xml:space="preserve">Maksimālais ESF+ finansējuma apmērs nepārsniedz 85 %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 pēc Eiropas Komisijas lēmuma par vidusposma pārskatu var ierosināt no 2026. gada 1.janvāra palielināt pasākuma pirmajai kārtai kopējo pieejamo attiecināmo finansējumu līdz šo noteikumu </w:t>
            </w:r>
            <w:r w:rsidR="00000000" w:rsidRPr="00000000" w:rsidDel="00000000">
              <w:rPr>
                <w:rtl w:val="0"/>
              </w:rPr>
              <w:t xml:space="preserve">5.</w:t>
            </w:r>
            <w:r w:rsidR="00000000" w:rsidRPr="00000000" w:rsidDel="00000000">
              <w:rPr>
                <w:rtl w:val="0"/>
              </w:rPr>
              <w:t xml:space="preserve"> punktā plānotajam kopējam finansējumam, paredzot jaunu projekta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normas interpretāciju par veicamajām darbībām, lūdzam aizstāt noteikumu projekta 9.punktā vārdus "Ekonomikas ministrija" ar vārdiem "Atbildīgā iestāde". Lūdzam pārskatīt noteikumu projektu un precizēt arī citur, kur attiecināms uz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tā atbilst komercdarbības atbalsta nosacījumiem un Komisijas regula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redakcionāli precizējumi, t.i. lūgums izteikt šo 13.6.apakšpunktu sekojošā redakcijā: "13.6. tā atbilst komercdarbības atbalsta nosacījumiem, kas izriet no Komisijas regulas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devēja darbinieku izmitināšanas izmaksas un ceļa (transporta) izmaksas, ja mācības norisinās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"darba", ņemot vērā formulējumu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darbinieku izmitināšanas izmaksas un ceļa (transporta) izmaksas, ja mācības norisinās ārvalstīs;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izmaksas, kas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nav noteiktas kā attiecināmas vai pārsniedz izmaksu apmēra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atsauces uz 22.punktu vietā nav jābūt 21.punktam, kas nosaka izmaksu attiecināmības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nodokļi tajā skaitā pievienotās vērtības nodoklis, muitas nodokļi, nodevas un soda maksājumi, izņemot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gadījumus. Gadījumā, ja šādas izmaksas ir radušās, tās ir finansējuma saņēmēja un darba devēju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atsauci uz 27.punktu, norādot to tikai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nodokļi tajā skaitā pievienotās vērtības nodoklis, muitas nodokļi, nodevas un soda maksājumi, izņemot šo noteikumu 21.2. apakšpunktā un 27. punktā minētos gadījumus. Gadījumā, ja šādas izmaksas ir radušās, tās ir finansējuma saņēmēja un darba devēju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ir uzsācis atbalstāmās darbības pirms līguma par projekta īstenošanu noslēgšanas ar sadarbības iestādi, tas uzņemas visus riskus par saistībām, ko tas ir uzņēmies, un izdevumu neattiecināmības risku.  Ja darba devējs ir uzsācis darbības pirms pieteikuma iesniegšanas finansējuma saņēmējam, tad darba devēja pieteikums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ar teikumu, ka projekta iesniegumā neiekļauj un finansējumu nepiešķir pabeigtām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ir uzsācis atbalstāmās darbības pirms līguma par projekta īstenošanu noslēgšanas ar sadarbības iestādi, tas uzņemas visus riskus par saistībām, ko tas ir uzņēmies, un izdevumu neattiecināmības risku. Projekta iesniegumā neiekļauj un finansējumu nepiešķir pabeigtām darbībām. Ja darba devējs ir uzsācis darbības pirms pieteikuma iesniegšanas finansējuma saņēmējam, tad darba devēja pieteikums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Visām šo noteikumu </w:t>
            </w:r>
            <w:r w:rsidR="00000000" w:rsidRPr="00000000" w:rsidDel="00000000">
              <w:rPr>
                <w:rtl w:val="0"/>
              </w:rPr>
              <w:t xml:space="preserve">21.1.</w:t>
            </w:r>
            <w:r w:rsidR="00000000" w:rsidRPr="00000000" w:rsidDel="00000000">
              <w:rPr>
                <w:rtl w:val="0"/>
              </w:rPr>
              <w:t xml:space="preserve"> minētajām darbībām, par kurām paredzētas izmaksas iekšzemes komandējumiem, finansējuma saņēmējam jāpiemēro vadošās iestādes izstrādātās metodikas "Vienas vienības izmaksu standarta likmes aprēķina un piemērošanas metodika iekšzemes komandējumu izmaksām darbības programmas “Izaugsme un nodarbinātība” un Eiropas Savienības kohēzijas politikas programmas 2021.–2027.gadam” īstenošanai". Ārvalstu komandējuma izmaksas sedzamas projekta vadības personālam.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ietilpst zem projekta vadības personāla. Vienlaicīgi lūdzam salāgot informāciju par ārvalstu komandējumiem ar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šī noteikumu projekta punkta formulējumu, nepieciešamību papildināt anotāciju ar skaidrojumu kādos gadījumos būtu attiecināmas komandējuma izmaksas, t.sk. kāda veida komandējuma izmaksas Finansējuma saņēmējam un kādā veidā attiecināmas komandējuma izmaksas darba devēja darbiniekam, pasniedzējam, ņemot vērā, ka noteikumu projekta 21.1.apakšpunktā tiešā veidā nav paredzētas komandējuma izmaksas Finansējuma saņēmējam. Savukārt gan iekšzemes, gan ārvalstu komandējuma izmaksas (t.i. izmitināšanas izmaksas un ceļa (transporta) izmaksas) rodas gan darba devēja darbiniekam, gan pasniedzējam atbilstoši noteikumu projekta 21.2.apakšpunktā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33.2.7. datus par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grupu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33.2.7.punktu ārpus 33.2.apakšpunkta, ņemot vērā, ka attiecīgie dati uzkrājami iesniegšanai sadarbības iestādē un ziņošanai Eiropas Komisijai. Lūdzam atbilstoši papildināt arī anotācijas 8.1.13.apakšsadaļu ar informāciju, ka dati ziņojami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uzskaita un iesniedz sadarbības iestādē apkopotus datus par šo noteikumu 10.1. apakšpunktā  minētajām personām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pārbaudīt un  novērst interešu konfliktu, korupciju un krāpšanu pirms darba devēju pieteikumu izskatīšanas, kā arī visā darba devēju aktivitāšu īstenošanas laikā nodrošināt pārbaužu dokumentēšanu un apliecinājuma parakstīšanu par interešu konflikta neesamību, pirms izvērtēt darba devēja atbilstību komercdarbības atbalsta nosacījumiem, ja nepieciešams, novēršot identificētos riskus vai konstatēto interešu konfliktu.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33.11. apakšpunktā vārdus "novērst interešu konfliktu, korupciju un krāpšanu" ar vārdiem "novērst interešu konflikta, korupcijas un krāpšanas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33.15.3. par sasniegto atskaites punktu un mērķu pamatojošo dokumentāciju un datu ticamību;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"atskaites punktu un mērķu" aizstāt ar vārdu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33.18. elektroniski parakstīt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apliecinājumu par objektivitātes, konfidencialitātes un interešu konflikta neesību, visiem, kas iesaistās lēmuma pieņemšanas procesā par komercdarbības atbalsta piešķiršanu darba devējam. Apliecinājumu paraksta pirms projekta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"projekta pieteikuma" ar "pieteikuma", ņemot vērā 29.punktā minēto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parakstīt šo noteikumu 3. pielikuma  apliecinājumu par objektivitātes, konfidencialitātes un interešu konflikta neesību, visiem, kas iesaistās lēmuma pieņemšanas procesā par komercdarbības atbalsta piešķiršanu darba devējam. Apliecinājumu paraksta pirms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mācībām nav iespējams noteikt tirgus cenu, jo nav salīdzināmu mācību, finansējuma saņēmējs paskaidro, ar ko šīs mācības atšķiras no pieejamām mācībām un kāds ir mācību ekonomiskais pamatojums un lietderība, pamatojot konkrēto mācību nepieciešamību darba devējam, kura darbinieki tiks mācīti.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normas uztveramībai papildināt noteikumu projekta 34.punktu ar subjektu (sadarbības iestāde), kam tiek sniegts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mācībām nav iespējams noteikt tirgus cenu, jo nav salīdzināmu mācību, finansējuma saņēmējs paskaidro </w:t>
            </w:r>
            <w:r w:rsidR="00000000" w:rsidRPr="00000000" w:rsidDel="00000000">
              <w:rPr>
                <w:b w:val="1"/>
                <w:rtl w:val="0"/>
              </w:rPr>
              <w:t xml:space="preserve">sadarbības iestādei</w:t>
            </w:r>
            <w:r w:rsidR="00000000" w:rsidRPr="00000000" w:rsidDel="00000000">
              <w:rPr>
                <w:rtl w:val="0"/>
              </w:rPr>
              <w:t xml:space="preserve">, ar ko šīs mācības atšķiras no pieejamām mācībām un kāds ir mācību ekonomiskais pamatojums un lietderība, pamatojot konkrēto mācību nepieciešamību darba devējam, kura darbinieki tiks mācīti.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saņēmējam viena vienota uzņēmumu līmenī šo noteikumu </w:t>
            </w:r>
            <w:r w:rsidR="00000000" w:rsidRPr="00000000" w:rsidDel="00000000">
              <w:rPr>
                <w:rtl w:val="0"/>
              </w:rPr>
              <w:t xml:space="preserve">21.1.1.</w:t>
            </w:r>
            <w:r w:rsidR="00000000" w:rsidRPr="00000000" w:rsidDel="00000000">
              <w:rPr>
                <w:rtl w:val="0"/>
              </w:rPr>
              <w:t xml:space="preserve">  un </w:t>
            </w:r>
            <w:r w:rsidR="00000000" w:rsidRPr="00000000" w:rsidDel="00000000">
              <w:rPr>
                <w:rtl w:val="0"/>
              </w:rPr>
              <w:t xml:space="preserve">21.1.2.</w:t>
            </w:r>
            <w:r w:rsidR="00000000" w:rsidRPr="00000000" w:rsidDel="00000000">
              <w:rPr>
                <w:rtl w:val="0"/>
              </w:rPr>
              <w:t xml:space="preserve">  minēto izmaksu segšanai intensitāte ir 100 % apmērā, nepārsniedzot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norādīto atsauču  "26.punkts" vietā nav jābūt "25.punkts", ņemot vērā, ka 26.punkts īsti par izmaksu ierobežojumiem nerunā.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šo noteikumu </w:t>
            </w:r>
            <w:r w:rsidR="00000000" w:rsidRPr="00000000" w:rsidDel="00000000">
              <w:rPr>
                <w:rtl w:val="0"/>
              </w:rPr>
              <w:t xml:space="preserve">21.1.</w:t>
            </w:r>
            <w:r w:rsidR="00000000" w:rsidRPr="00000000" w:rsidDel="00000000">
              <w:rPr>
                <w:rtl w:val="0"/>
              </w:rPr>
              <w:t xml:space="preserve"> minētās izmaksas sniedz saskaņā ar Komisijas regulu Nr. 2023/2831 un normatīvajiem aktiem par de minimis atbalsta uzskaites un piešķiršanas kārtību un de minimis atbalsta uzskaites veidlapu paraugiem, un tas ir uzskatāms par komercdarbības atbalstu finansējuma saņēmējam. Sadarbības iestāde atbilstoši šo noteikumu </w:t>
            </w:r>
            <w:r w:rsidR="00000000" w:rsidRPr="00000000" w:rsidDel="00000000">
              <w:rPr>
                <w:rtl w:val="0"/>
              </w:rPr>
              <w:t xml:space="preserve">55. punktam</w:t>
            </w:r>
            <w:r w:rsidR="00000000" w:rsidRPr="00000000" w:rsidDel="00000000">
              <w:rPr>
                <w:rtl w:val="0"/>
              </w:rPr>
              <w:t xml:space="preserve"> . punktam vērtē finansējuma saņēmēja atbilstību de minimis atbalsta nosacījumiem uz komercdarbības atbalsta piešķiršanas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redakcionāls labojums: "Finansējuma saņēmējs" labot uz "Finansējuma saņēmējam". Papildus šajā punktā ievietota nekorekta atsauce uz MKN 55.punktu. Tā vietā nepieciešams atsaukties uz MKN 60. un 61.punktu.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Atbalsts šo noteikumu </w:t>
            </w:r>
            <w:r w:rsidR="00000000" w:rsidRPr="00000000" w:rsidDel="00000000">
              <w:rPr>
                <w:rtl w:val="0"/>
              </w:rPr>
              <w:t xml:space="preserve">21.1.2.1.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21.1.2.3.</w:t>
            </w:r>
            <w:r w:rsidR="00000000" w:rsidRPr="00000000" w:rsidDel="00000000">
              <w:rPr>
                <w:rtl w:val="0"/>
              </w:rPr>
              <w:t xml:space="preserve"> minēto ārpakalpojuma izmaksu segšanai nav uzskatāms par komercdarbības atbalstu, ja finansējuma saņēmējs nodrošina projekta vadību, piemērojot šo noteikumu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minēto nosacījumu. Ja finansējuma saņēmējs nodrošina projekta vadību, tad šo izmaksu segšana ir uzskatāma par komercdarbības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korektu atsauci "26.3.apakšpunkts", kurš nosaka projekta vadības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šo noteikumu 21.1.2.1. apakšpunktā un 21.1.2.3. minēto ārpakalpojuma izmaksu segšanai nav uzskatāms par komercdarbības atbalstu, ja finansējuma saņēmējs nodrošina projekta vadību, piemērojot šo noteikumu 26.3. apakšpunktā  minēto nosacījumu. Ja finansējuma saņēmējs nodrošina projekta vadību, tad šo izmaksu segšana ir uzskatāma par komercdarbības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avansa maksājums ir pieejams, ja finansējuma saņēmējs ir atvēris kontu Valsts kasē vai darījumu kontu Latvijā reģistrētā kredītiestādē, vai kontu Latvijā reģistrētā kredītiestādē un iesniedzis bankas garantiju par avansa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45.2.apakšpunktu, ņemot vērā, ka tas ierobežo Ministru kabineta 2023.gada 25.aprīļa noteikumu Nr.205 "Valsts budžeta līdzekļu plānošanas kārtība Eiropas Savienības fondu projektu īstenošanai un maksājumu veikšanai 2021.–2027. gada plānošanas periodā" 12.punktā ietverto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Pirms projekta pieteikuma iesniegšanas darba devējs vienojas ar finansējuma saņēmēju par komercdarbības atbalsta veidu atbilstoši Komisijas regulas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lietderību šāda punkta iekļaušanai MK noteikumos, ņemot vērā, ka atbalsts tiek sniegts tiek vienā veidā atbilstoši Komisijas Regulai Nr.2023/2831 un otrs veids  - atbilstoši komisijas Regulai 651/2014 ir dzēsts no MK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Darba devējs, ievērojot Komisijas regulas Nr. 2023/2831 5. panta 1., 2., un 3.punktu punktu, de minimis atbalstu drīkst kumulēt ar citu de minimis atbalstu līdz Komisijas regulas Nr. 2023/2831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50.punkta redakciju un pirms vārdiem “attiecībā un vienām un tām pašām attiecināmajām izmaksām” iekļaut vārdus “tai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Finansējuma saņēmēja lēmumu par neatbilstību komercdarbības atbalsta nosacījumiem gala labuma guvējs var apstrīdēt atbildīgajā iestādē. Atbildīgās iestādes izdoto lēmumu gala labuma guvējs var pārsūdzēt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53. punktā ietverto regulējumu. Proti, ņemot vērā, ka finansējuma saņēmējs ir biedrība, un tās pieņemtie lēmumi nav uzskatāmi par administratīvajiem aktiem, lūdzam izvērtēt, vai šādā gadījumā atbildīgā iestāde (vai, piemēram, nozares ministrija) pārņems attiecīgo civiltiesisko jautājumu noregulēšanai administratīvā procesa kārtībā kā augstākā institūcija pār privātpersonu, proti, izdodot administratīvo aktu, kurš pēc tam ir pārsūdzams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lemts, ka finansējuma saņēmēja pieņemto lēmumu apstrīd nevis atbildīgajā iestādē, bet paša finansējuma saņēmēja ietvaros, lūdzam izvērtēt, vai ir paredzēta kārtība finansējuma saņēmēja lēmuma par neatbilstību komercdarbības atbalsta nosacījumiem apstrīdēšanai finansējuma saņēmēja ietvaros un pārsūdzēšanai. Lai process būtu izsekojams un caurspīdīgs pieteikumu iesniedzējiem un uzraugošajām institūcijām, lūdzam papildināt anotāciju ar informāciju par to, ka finansējuma saņēmējs izstrādās iekšējo kārtību, kurā tiks paredzēta tā pieņemto lēmumu apstrīdēšanas un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finansējuma saņēmējs pieņems arī citus lēmumus pret darba devēju saistībā ar tā iesniegto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Ar komercdarbības atbalsta saņemšanu vispārīgie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netiek dublēta norma par nelikumīga komercdarbības atbalsta atgūšanu kā tas noteikts noteikumu projekta 43.punktā attiecībā uz finansējuma saņēmēju un noteikumu projekta 52.punktā attiecībā uz darba devēju, lūdzam šo nosacījumu iekļaut noteikumu projekta VII sadaļā, kurā ir iekļauti vispārīgie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Pirms de minimis atbalsta piešķiršanas tiek pārbaudīts, vai plānotais de minimis atbalsts kopā ar iepriekšējos trīs gados no atbalsta piešķiršanas dienas saņemto de minimis atbalstu viena vienota uzņēmuma līmenī nepārsniedz Komisijas regulas Nr.2023/2831 3.panta 2.punktā noteikto maksimālo de minimis atbalsta apmēru. De minimis atbalsta apmērs tiek vērtēts viena vienota uzņēmuma līmenī saskaņā ar Komisijas regulas Nr. 2023/2831 2.panta 2.punkta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 de minimis atbalstam (turpmāk - Komisijas regula Nr.2023/2831), 3.panta 2.punktā noteiktajam, atbalsta sniedzējam ir pienākums pārbaudīt piešķirtā, nevis faktiski saņemtā atbalsta apjomu. Lai nodrošinātu atbilstību Komisijas regulas Nr.2023/2831 3.panta 2.punktam, aicinām noteikumu projekta 61.punktā aizstāt vārdu “saņemto”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2.apakšsadaļas "Finansējums, sasniedzamie rādītāji un mērķa grupa" aprakstā norādīts, ka MK noteikumu ietvaros tiek plānoti šāds sasniedzamais rādītājs - nodarbināto personu skaits, tostarp pašnodarbinātas personas, kam nodrošināta mācību apguve līdz 2024. gada 31. decembrim – 500 (tiek uzskaitītas neunikālās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10.1 un 10.2 apakšpunktam ir plānoti sasniedzamie rādītāji tikai uz 2029.gada 31.decembri. Lūdzam veikt atbilstošas korekcijas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6.apakšsadaļas "Ar atbalsta piešķiršanu un saņemšanu saistītie nosacījumi"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norādīts, ka pirms projekta pieteikuma iesniegšanas darba devējs vienojas ar finansējuma saņēmēju par iespējamo komercdarbības atbalsta veidu atbilstoši Komisijas regulas Nr. 651/2014 vai Komisijas regulas Nr.  2023/2831 nosacījumiem. Atbilstoši MK noteikumu 11.punktam pasākuma pirmās kārtas ietvaros atbalsts tiek sniegts tikai atbilstoši Komisijas regula Nr. 2023/2831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norādīts, ka ar mācību procesu saistītās izmaksas darba devējam tiek segtas saskaņā ar Komisijas regulu Nr. 651/2014 un Komisijas regulu Nr. 2023/2831; Atbilstoši MK noteikumu 11.punktam pasākuma pirmās kārtas ietvaros atbalsts tiek sniegts tikai atbilstoši Komisijas regula Nr. 2023/2831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atbilstošus precizējumus anotācijā arī 5.sadaļā svītrojot atsauci uz Komisijas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precizēt atbalstāmas mācību jomas un programmu kopas atbilstoši aktualizētajam noteikumu projekta 2.pielikumam.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visā anotācijā informāciju par pasākuma ietvaros sasniedzamo iznākuma rādītāju (1 193 unikālas personas) atbilstoši noteikumu projekta 10.1.apakšpunktā minētajam, kā arī nacionālā rādītāja sasniedamo vērtību (464) atbilstoši noteikumu projekta 10.2.apakšpunktā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1.3.sadaļā svītrot informāciju par finansējuma pieprasījumu valsts budžeta prioritātēs vai arī noteikumu projekta īstenošanas laikā, jo minētā informācija nav saistīta ar šobrīd noteikumu projektā paredzēto pasākuma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6.apakšsadaļas "Ar atbalsta piešķiršanu un saņemšanu saistītie nosacījumi" aprakstā norādīts, ka gadījumos, kad finansējuma saņēmējs nodrošina projekta vadību kā ārpakalpojumu, skatīt noteikumu  43.3. punktu, kurš tiek nodrošināts atbilstoši nacionālajam regulējumam publisko iepirkumu jomā, tad tas netiek uzskatīts par valsts atbalstu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korektu atsauci uz MK noteikumu 33.3.apakšpunktu (43.3.punkta nav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finansējuma saņēmējs nodrošina projekta vadību kā ārpakalpojumu, skatīt noteikumu  33.3. punktu, kurš tiek nodrošināts atbilstoši nacionālajam regulējumam publisko iepirkumu jomā, tad tas netiek uzskatīts par valsts atbalstu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10.1.apakšpunktā norādītā vērtība pieskaņota Eiropas Komisijā (turpmāk - EK) iesniegtajiem Eiropas Savienības kohēzijas programmas 2021.-2027.gadam grozījumu projektam, kas vēl nav saskaņoti ar EK, lūdzam papildināt MK sēdes protokollēmuma projektu ar punktu, kas atrunātu EM rīcību gadījumā, ja EK nesaskaņo samazināto rādītāja vērtību. Vienlaikus, lūdzam papildināt anotāciju ar informāciju par EK iesniegtajiem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informēt Ministru kabinetu par priekšlikumiem rīcībai gadījumā, ja netiek saņemts pozitīvs Eiropas Komisijas lēmums par grozījumiem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12.06.2024.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12.06.2024.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