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vēlreiz izvērtēt Ekonomikas ministrijas piedāvāto redakciju 26. panta (4) daļai. "(4) Elektroenerģijas gala lietotājam ir tiesības ierīkot tiešo līniju un savā īpašumā esošu elektroenerģijas ražošanas iekārtu, ja lietotājs pilnībā izmanto saražoto elektroenerģiju un tiešā līnija ierīkota atbilstoši šī panta otrās daļas pirmā un otrā punkta nosacījumiem." Ja iekārtas atrodas uz dažādiem nekaustāmiem īpašumiem, tad nevar piemērot 25. panta nosacījumus, bet, ja iekārta pieder galalietotājam, tad šādā gadījumā ir neloģiski piemērot 26. panta (2) daļas 3) punkta nosacījumus, jo tā būtu vienošanās pašam ar sevi. Tāpat arī lūdzam izvērtēt, vai nosacījums, ka "lietotājs pilnībā izmanto saražoto elektroenerģiju" nebūtu attiecināms uz visiem panta (2) daļas gadījumiem. Likumprojekta (1) un (2) daļa uzskatāma par 2 atšķirīgiem tiešās līnijas gadījumiem, tomēr to ir grūti uztvert un lūgums izvērtēt iespēju to redakcionāli uzlabot, lai tas būtu noteikts viennozīmīgi. Ekonomikas ministrija ierosina pirms likumprojekta iesniegšanas MK sarīkot iesaistīto pušu sanāksmi, lai precizētu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