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Ceturkšņa pārskata sagatavošanas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"Ceturkšņa pārskata sagatavošanas kārtība" (turpmāk – projekts) 1. punktu atbilstoši Ministru kabinetam Likuma par budžetu un finanšu vadību 30. panta ceturtās daļas otrajā teikumā dotajam pilnvarojumam, ievērojot Ministru kabineta 2009. gada 3. februāra noteikumu Nr. 108 "Normatīvo aktu projektu sagatavošanas noteikumi" 100. punktā noteikto. Vēršam uzmanību uz to, ka projekta 2.2. apakšpunktā ietvertais regulējums noteikts atbilstoši minētajam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budžeta iestādes, kā arī Valsts kase attiecībā uz valsts budžeta finanšu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2.1. apakšpunktu, ņemot vērā to, ka nosacījums par to, uz kādām iestādēm attiecas projekts, jau izriet no projekta 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Konsolidētais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 nodaļā ietvertā regulējuma atbilstību Ministru kabinetam dotajam pilnvarojumam. Likuma par budžetu un finanšu vadību 30. panta septītā daļa pilnvaro Ministru kabinetu noteikt kārtību, kādā sagatavo un iesniedz ceturkšņa pārskatu. Savukārt Likuma par budžetu un finanšu vadību 30. panta astotā daļa pilnvaro Ministru kabinetu noteikt tikai termiņu, kādā iesniedzams konsolidētais ceturkšņa pārskats. Ievērojot minēto, pirmšķietami Ministru kabinets nav tiesīgs noteikt konsolidētā ceturkšņa pārskata sagatavošanas un iesniegšanas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Ministrijas, centrālās valsts iestādes un pašvaldības nosaka un konsolidācijā iesaistītās budžeta iestādes ievēro vienotu grāmatvedības uzskaites kārtību, kontu plānu un konsolidētā pārskata sagatavošanas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punktu un svītrot projekta 16. un 17. punktu, ja konsolidētā ceturkšņa pārskata sagatavošanas kārtību Ministru kabinets ir pilnvarots noteikt saskaņā ar Likuma par budžetu un finanšu vadību 30. panta septītajā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Ministrija, cita centrālā valsts iestāde un pašvaldība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par budžetu un finanšu vadību 30. panta ceturtā daļa paredz, ka kapitālsabiedrību finanšu pārskatus un finanšu informāciju apkopo ministrijas, citas centrālās valsts iestādes, no valsts budžeta daļēji finansētas atvasinātas publiskas personas un pašvaldības, lūdzam precizēt projekta 28. punkta ievaddaļu un 31. punktu, norādot tajā arī no valsts budžeta daļēji finansētas atvasinātas publiskas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2023. gada 24. oktobra noteikumu Nr. 598 "Ceturkšņa pārskata sagatavošanas kārtība" 9.1. un 9.2. apakšpunkts paredz, ka pārskatu par I ceturksni iesniedz līdz 25. aprīlim un par II ceturksni līdz 25. jūlijam, ja projekts stāsies spēkā pirms minētajiem pārskata iesniegšanas termiņiem, lūdzam papildināt projekta 6. nodaļu ar noteikumu, ka šie pārskati iesniedzami saskaņā ar Ministru kabineta 2023. gada 24. oktobra noteikumos Nr. 598 "Ceturkšņa pārskata sagatavošanas kārtība"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r w:rsidR="00000000" w:rsidRPr="00000000" w:rsidDel="00000000">
              <w:rPr>
                <w:rtl w:val="0"/>
              </w:rPr>
              <w:t xml:space="preserve">  30. panta ceturto, septīto un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par budžetu un finanšu vadību 30. panta septītajā un astotajā daļā, ievērojot Ministru kabineta 2009. gada 3. februāra noteikumu Nr. 108 "Normatīvo aktu projektu sagatavošanas noteikumi" 47. punktā noteikto, ir nekorekti noformulēts pilnvarojums Ministru kabinetam izdot ārēju normatīvo aktu, aicinām, izstrādājot Likumā par budžetu un finanšu vadību grozījumus pēc būtības, precizēt arī minētos Ministru kabinetam dotos pilnvarojumus.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termiņu, kādā ministrijas un citas centrālās valsts iestādes, kā arī pašvaldības iesniedz Valsts kasei konsolidēto ceturkšņa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sākotnējās ietekmes novērtējuma ziņojumu (turpmāk – anotācija) ar informāciju par to, ar kuru normatīvo aktu ir noteikts termiņš, kādā ministrijas un citas centrālās valsts iestādes, kā arī pašvaldības iesniedz Valsts kasei konsolidēto mēneša pārskatu, ko paredz noteikt Likuma par budžetu un finanšu vadību 30. panta astotā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ministrijas, centrālās valsts iestādes, no valsts budžeta daļēji finansētas atvasinātas publiskas personas un pašvaldības attiecībā uz kapitālsabiedrībām, kurās valstij, no valsts budžeta daļēji finansētai atvasinātai publiskai personai vai pašvaldībai katrai atsevišķi vai kopā ir 20,001–100,00 % no akcionāru vai dalībnieku balsstiesībām kapitālsabiedrībā, un attiecībā uz šādas kapitālsabiedrības meitas sabiedrību, kura klasificēta vispārējās valdības sektorā saskaņā ar normatīvajiem aktiem par institucionālo sektoru klasifikāciju noteikto (turpmāk –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2.2. apakšpunktu un projekta 7., 8., 9. un 15. punktu, ņemot vērā to, ka ministrijas arī ir centrālās valsts iestādes, tādējādi būtu jālieto vārdu savienojums "ministrijas un citas centrālās valsts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apakšsadaļā ietverto informāciju par juridiskajām personām, ņemot vērā to, ka šajā apakšsadaļā norāda informāciju par ietekmi uz privāto sektoru, nevis publisko sektoru. Informācija par ietekmi uz publisko sektoru norādāma anotācijas 7.1.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w:t>
    </w:r>
    <w:r>
      <w:br/>
    </w:r>
    <w:r w:rsidR="00000000" w:rsidRPr="00000000" w:rsidDel="00000000">
      <w:rPr>
        <w:rtl w:val="0"/>
      </w:rPr>
      <w:t xml:space="preserve">Izdrukāts 20.03.2024.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24-TA-157</w:t>
    </w:r>
    <w:r>
      <w:br/>
    </w:r>
    <w:r w:rsidR="00000000" w:rsidRPr="00000000" w:rsidDel="00000000">
      <w:rPr>
        <w:rtl w:val="0"/>
      </w:rPr>
      <w:t xml:space="preserve">Izdrukāts 20.03.2024.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Atzinumi_24-TA-157.docx</dc:title>
</cp:coreProperties>
</file>

<file path=docProps/custom.xml><?xml version="1.0" encoding="utf-8"?>
<Properties xmlns="http://schemas.openxmlformats.org/officeDocument/2006/custom-properties" xmlns:vt="http://schemas.openxmlformats.org/officeDocument/2006/docPropsVTypes"/>
</file>