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ceturto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kā Atveseļošanas un noturības mehānisma plāna pārvaldībā iesaistītā nozares ministrija ir izskatījusi Finanšu ministrijas TAP virzīto TA projektu “Par Latvijas Atveseļošanas un noturības mehānisma plāna ceturto papildinājumu” un lūdz to precizēt atbilstoši Labklājības ministrijas sniegtajiem redakcionālajiem precizējumiem, ko tā ir ietvērusi Finanšu ministrijas OneDrive diskā izvietotajās datnēs, un ar Eiropas Komisiju panāktajām vienošanām par izmaiņām Padomes lēmumā.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Zvirgzda-Supe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13.05.2026.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13.05.2026.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Atzinumi_26-TA-1036.docx</dc:title>
</cp:coreProperties>
</file>

<file path=docProps/custom.xml><?xml version="1.0" encoding="utf-8"?>
<Properties xmlns="http://schemas.openxmlformats.org/officeDocument/2006/custom-properties" xmlns:vt="http://schemas.openxmlformats.org/officeDocument/2006/docPropsVTypes"/>
</file>