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atzinums 31082022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(LDDK atzinums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(StartIn atzinums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(VK atzinums 02092022 (pēdējais))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(220623_Izziņa)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4.panta pirmās daļas 9) apakšpunktu. Bioekonomika ir viena no likumprojekta 4. punktā noteiktajām prioritātēm. Bioekonomikas stratēģijā koka būvniecība ir identificēta kā viena no nozares iespējām būtiski palielināt pievienoto vērtību un ir atbilstoša likumprojekta 4.panta 2 daļā minētajiem nosacījumiem, un saskan ar likumprojekta būtību kopumā. Vienlaicīgi, koka konstrukciju plašāka pielietošana ēku būvniecībā ir Valdības rīcības plānā (VRP) noteiktais  uzdevums (200.3.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Zemas īres dzīvojamo mājokļu un sociālo mājokļu būvniecību, ja tas sekmē darbaspēka piesaisti un mājokļu pieejamību ne mazāk kā 50 jaunām mājsaimniecībām, un investīcijas ir saistītas ar mājokļu nodrošināšanu šā panta pirmās daļas 1-5.punktos minētajās jomās, īpaši veicinot koka konstrukciju ēku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Everita Kalvāne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4.panta trešās daļas otro teikumu. Kas ir domāts ar vārdiem"minēto pakalpojumu", vai ar to ir domāts projekta izvērtēšāna?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Everita Kalvāne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11.07.2023.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11.07.2023.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