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[1]  ANM plāna pasākuma īstenošanā ir jāņem vērā un jāveicina dzimumu līdztiesība, vienlīdzīgas iespējas visiem un minēto mērķu integrēšana pasākumu ieviešanā. Aicinām sniegt informāciju, kā  investīcija veicinās dzimumu līdztiesību un vienlīdzīgas iespējas visiem un nodrošinās šo principu integrāciju, saskaņā ar Eiropas sociālo tiesību pīlāra 2. un 3. principu, kā arī ANO Ilgtspējīgas attīstības mērķu 5. mērķi un nacionālo dzimumu līdztiesības plānu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PARLAMENTA UN PADOMES REGULA (ES) 2021/241, (2021. gada 12. februāris), ar ko izveido Atveseļošanas un noturības mehānismu (https://eur-lex.europa.eu/legal-content/LV/TXT/HTML/?uri=CELEX:32021R0241&amp;from=EN)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[2]Plāns sieviešu un vīriešu vienlīdzīgu tiesību un iespēju veicināšanai 2021.-2023. gadam (https://likumi.lv/ta/id/325509-par-planu-sieviesu-un-viriesu-vienlidzigu-tiesibu-un-iespeju-veicinasanai-20212023-gadam)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tiks ievēroti vispārējie vienlīdzīgu iespēju un dzimumu līdztiesības principi. Piemēram tiks īstenotas veicinošas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visiem darbiniekiem ar invaliditāti tiks nodrošinātas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