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veselības stratēģija līdz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Apmācībām un rīcības virziena 1.4. - EM atbalsta programmas ir vērtas uz produktivitātes un inovāciju veicināšanu uzņēmējdarbībā, līdz ar to tas neizslēdz, ka veselības nozares uzņēmumi var kvalificēties atbalstam EM adminsitrētajās programmās. Attiecīgi lūdzam izslēgt pasākumu - dublējošas normas uzdevumi nav atbalstāmi (Uzdevums jau ir iekļauts DP 2021.-2027.gadam). Lūdzam izslēgt EM paredzēto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Pričina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152p. - Vēršam uzmanību, ka EM atbalsta aktivitātes ir vērstas uz inovāciju veicināšanu uzņēmējdarbībā,  līdz ar to EM atbildībā esošajās atbalsta programmās nav speciāls budžets vai aktivitātes veselības inovāciju veicināšanai. Vienlaikus jāņem vērā, ka EM administrētais atbalsts neizslēdz to, ka veselības nozares uzņēmums var kvalificēties atbalstam. Lūdzam minēto ņemt vērā pie ziņojuma pamatnostādņu precizēšanas.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Pričina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14.04.2023. 18.57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14.04.2023. 18.57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Atzinumi_23-TA-824.docx</dc:title>
</cp:coreProperties>
</file>

<file path=docProps/custom.xml><?xml version="1.0" encoding="utf-8"?>
<Properties xmlns="http://schemas.openxmlformats.org/officeDocument/2006/custom-properties" xmlns:vt="http://schemas.openxmlformats.org/officeDocument/2006/docPropsVTypes"/>
</file>