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studentu darbu vadītājs – savas jomas profesionālis, kas palīdz attīstīt studējošā vai studējošo komandas inovatīvo ideju, sniedzot atbalstu zinātniskajā vai tehniskajā jomā, vai palīdz attīstīt biznesa ideju, apzināt riskus un potenciālās attīstības iespējas, sniegt praktiskus ieteikumus inovatīvas idejas attīstīšanai. Kā studentu darbu vadītājus var iesaistīt arī studentus, pēcdoktorantus un rezidentus ar atbilstošu kompetenci un pieredzi.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IZM izziņas 22.punkta skaidrojumu, un anotācijā iekļauto informāciju, ka arī mentors var tikt piesaistīts kā darbu vadītājs, aicinām mentoru iekļaut arī MKN projekta 2.12.punkta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Maksimālais attiecināmais Eiropas Reģionālās attīstības fonda finansējuma apmērs nepārsniedz 85 procentus no projekta kopējā attiecināmā finansējuma. Privātais līdzfinansējums veido 10 procentus no projekta kopējā attiecināmā finansējuma. Valsts budžeta līdzfinansējums veido piecus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projekta 14.punktu, ņemot vērā, ka no šā brīža redakcijas nav skaidri saprotams, ka, ja projekta iesniedzējs ir privāto tiesību juridiskā persona, projekta iesniedzējs projekta īstenošanai nepieciešamo nacionālo līdzfinansējumu nodrošina no projekta iesniedzēja privātā finansējuma nevis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partneriem tiek segtas tikai faktiskās izmaksas, tādejādi neradot tiem ekonomiskas priekšrocības.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veiktās izmaiņas MK noteikumu projektā uz šo versiju, lūdzam precizēt noteikumu projekta 24. punktu, nodrošinot, ka sadarbības partneriem tiek segtas tikai faktiskās izmaksas, kas pakalpojumu un materiālu iegādes gadījumā nepārsniedz vidējo tirgus cenu, savukārt attiecībā uz atlīdzību projekta personālam izmaksas personālam nepārsniedz vidējās darba samaksas apmēru saskaņā ar Centrālās statistikas pārvaldes datiem par līdzvērtīgu darbu attiecīgajā nozarē, tādējādi izslēdzot ekonomisko priekšrocību tiem. Komercdarbības atbalsts sadarbības partneru līmenī tiek izslēgts, pierādot, ka neizpildās ekonomiskā priekšrocības pazīme, jo samaksa nepārsniedz CSP līmeni, taču gadījumā, ja plānots segt vienkārši daļu no atalgojuma, tad priekšrocību izslēgt vairs nav iespējams, jo secināms, ka atbalsts vienkārši aizvieto sadarbības partnera darbības izmaksas. Ja nevar nodrošināt atbilstību CSP līmenim, tad sadarbības partneriem sniegtais atbalsts būs kvalificējams kā komercdarbības atbalsts un tam attiecīgi jāpiemēro atbilstoši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 tai skaitā, skaidrojot, vai tiešām sadarbības partnerim ir attiecināmas izmaksas, kas saistītas studentu inovāciju pieteikumu īstenošanas nodrošināšanu, bet izkļaujot vienkāršotās izmaksas par studentu pieteikumu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Viena projekta iesnieguma maksimālais publiskais attiecināmais finansējums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projekta anotācijā norādīto informāciju, projekta minimālais attiecināmais publiskais finansējums ir 250 000 euro, līdz ar to lūdzam savstarpēji salāgot redakcijas vai papildināt MK noteikumu projektu ar šo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37.1.1. - 37.1.3. apakšpunktos papildināt, kuras personāla izmaksas attiecināmas tikai finansējuma saņēmējam un kuras arī sadarbības partnerim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37.1.2.2. cita projekta īstenošanas personāla izmaksas (izņemot virsstundas), kas iesaistās studentu inovāciju programmas īstenošanā, izņemot šo noteikumu </w:t>
            </w:r>
            <w:r w:rsidR="00000000" w:rsidRPr="00000000" w:rsidDel="00000000">
              <w:rPr>
                <w:rtl w:val="0"/>
              </w:rPr>
              <w:t xml:space="preserve">37.1.2.1. </w:t>
            </w:r>
            <w:r w:rsidR="00000000" w:rsidRPr="00000000" w:rsidDel="00000000">
              <w:rPr>
                <w:rtl w:val="0"/>
              </w:rPr>
              <w:t xml:space="preserve">apakšpunktā</w:t>
            </w:r>
            <w:r w:rsidR="00000000" w:rsidRPr="00000000" w:rsidDel="00000000">
              <w:rPr>
                <w:rtl w:val="0"/>
              </w:rPr>
              <w:t xml:space="preserve"> minētās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liekus interpretācijas riskus par citu projektu, aicinām 37.1.2.2.apakšpunktā precizēt, ka tās ir 'citas 'projekta īstenošanas personāla atlīdzības izmaksas. Attiecīgi redakcionāli precizējumi veicami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37.1.2.2. cita</w:t>
            </w:r>
            <w:r w:rsidR="00000000" w:rsidRPr="00000000" w:rsidDel="00000000">
              <w:rPr>
                <w:u w:val="single"/>
                <w:rtl w:val="0"/>
              </w:rPr>
              <w:t xml:space="preserve">s</w:t>
            </w:r>
            <w:r w:rsidR="00000000" w:rsidRPr="00000000" w:rsidDel="00000000">
              <w:rPr>
                <w:rtl w:val="0"/>
              </w:rPr>
              <w:t xml:space="preserve"> projekta īstenošanas personāla izmaksas (izņemot virsstundas), kas iesaistās studentu inovāciju programmas īstenošanā, izņemot šo noteikumu 37.1.2.1. apakšpunktā minētās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37.2.3. inovāciju konkursu, sacensību un inovāciju darbnīcu organizēšanas izmaksas, tostarp telpu īre (ja projekta aktivitāšu īstenošanai nepieciešams īrēt telpas ārpus finansējuma saņēmēja juridiskās un faktiskās uzturēšanās adreses vai ja augstskolai un projektam ir atsevišķi budžeti), materiālu nodrošinājuma izmaksas un studējošo mobilitātes izmaksas Latvijā un ārvalstīs, kas tieši saistītas ar konkrētu studentu inovāciju pieteikumu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 izziņas 47.punktā sniegto skaidrojumu, ka studējošo mobilitātes nav izslēdzama un atsevišķos gadījumos tā var būt nepieciešama, aicinām šajā un/vai anotācijā iekļaut informāciju, kas tas ir pieļaujams </w:t>
            </w:r>
            <w:r w:rsidR="00000000" w:rsidRPr="00000000" w:rsidDel="00000000">
              <w:rPr>
                <w:u w:val="single"/>
                <w:rtl w:val="0"/>
              </w:rPr>
              <w:t xml:space="preserve">atsevišķi pamatotos gadījumos</w:t>
            </w:r>
            <w:r w:rsidR="00000000" w:rsidRPr="00000000" w:rsidDel="00000000">
              <w:rPr>
                <w:rtl w:val="0"/>
              </w:rPr>
              <w:t xml:space="preserve">, lai nodrošinātu to, ka katrā studentu inovāciju pieteikumā netiktu saplānotas šādas aktivitātes, tādējādi aizvirzoties no pasākuma koncepta, kas ir par studentu inovētspēju un uzņēmējspēju attīstīšanu, izstrādājot produktu un tehnoloģiju prototipus, nevis studentu mobilitātes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37.2.3. inovāciju konkursu, sacensību un inovāciju darbnīcu organizēšanas izmaksas, tostarp telpu īre (ja projekta aktivitāšu īstenošanai nepieciešams īrēt telpas ārpus finansējuma saņēmēja juridiskās un faktiskās uzturēšanās adreses vai ja augstskolai un projektam ir atsevišķi budžeti), materiālu nodrošinājuma izmaksas un studējošo mobilitātes izmaksas Latvijā un ārvalstīs, kas tieši saistītas ar konkrētu studentu inovāciju pieteikumu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telpu īrei nav noteiktas ierobežojošas normas un finansējuma saņēmējs varēs īrēt gan ārpus esošās telpas, gan pašas augstskolas, aicinām dzēst iekavās norādīto papildinājumu.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jaunradītu darba vietu aprīkojuma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īres izmaksas ir attiecināmas proporcionāli darba slodzes procentuālajam sadalījumam. Daļlaika izmaksu attiecināšanas gadījumā tiek ņemts vērā darbinieka iesaistes periods pret projekta kopējo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apakšpunkta redakciju atbilstoši Vadlīnijās Nr. 1.2. "Vadlīnijas attiecināmo izmaksu noteikšanai Eiropas Savienības kohēzijas politikas programmas 2021.-2027.gada plānošanas periodā" norādītajiem nosacījumiem par darba vietu aprīkojuma iegādes vai īres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jaunradītu darba vietu aprīkojuma, tai skaitā biroja mēbeļu un tehnikas, datorprogrammu un licenču iegādes vai nomas izmaksas, aprīkojuma uzturēšanas un remonta izmaksas vai esošo darba vietu atjaunošanas izmaksas finansējuma saņēmējam, ja esošo darba vietu aprīkojums ir nolietojies un tiek norakstīts,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pakalpojuma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kuras atbalstāmās darbības īstenošanai un kādas pakalpojuma izmaksas tiek paredzētas MK noteikumu projekta 37.5.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37.1.1.</w:t>
            </w:r>
            <w:r w:rsidR="00000000" w:rsidRPr="00000000" w:rsidDel="00000000">
              <w:rPr>
                <w:rtl w:val="0"/>
              </w:rPr>
              <w:t xml:space="preserve">,  </w:t>
            </w:r>
            <w:r w:rsidR="00000000" w:rsidRPr="00000000" w:rsidDel="00000000">
              <w:rPr>
                <w:rtl w:val="0"/>
              </w:rPr>
              <w:t xml:space="preserve">37.1.2.2. </w:t>
            </w:r>
            <w:r w:rsidR="00000000" w:rsidRPr="00000000" w:rsidDel="00000000">
              <w:rPr>
                <w:rtl w:val="0"/>
              </w:rPr>
              <w:t xml:space="preserve"> un </w:t>
            </w:r>
            <w:r w:rsidR="00000000" w:rsidRPr="00000000" w:rsidDel="00000000">
              <w:rPr>
                <w:rtl w:val="0"/>
              </w:rPr>
              <w:t xml:space="preserve">37.1.3. </w:t>
            </w:r>
            <w:r w:rsidR="00000000" w:rsidRPr="00000000" w:rsidDel="00000000">
              <w:rPr>
                <w:rtl w:val="0"/>
              </w:rPr>
              <w:t xml:space="preserve">apakšpunktā</w:t>
            </w:r>
            <w:r w:rsidR="00000000" w:rsidRPr="00000000" w:rsidDel="00000000">
              <w:rPr>
                <w:rtl w:val="0"/>
              </w:rPr>
              <w:t xml:space="preserve"> minētajām tiešajām attiecināmajām personāla izmaksām. Netiešo izmaksu vienoto likmi piemēro personāla izmaksām, kuras radušās uz darba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Regulu Nr.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54.panta b) apakšpunktā noteikto, netiešo izmaksu likme rēķināma 15 % apmērā no tiešajām attiecināmajām personāla izmaksām. Lūdzam skaidrot atšķirīgas pieejas noteikšanu attiecībā uz MK noteikumu projekta 37.1.2.1. apakšpunktā noteiktajām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Projekta īstenošanas laikā finansējuma saņēmējam ir iespēja saņemt avansu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atbalstāmo darbību īstenošanai, kā arī šo noteikumu </w:t>
            </w:r>
            <w:r w:rsidR="00000000" w:rsidRPr="00000000" w:rsidDel="00000000">
              <w:rPr>
                <w:rtl w:val="0"/>
              </w:rPr>
              <w:t xml:space="preserve">37.2.1. </w:t>
            </w:r>
            <w:r w:rsidR="00000000" w:rsidRPr="00000000" w:rsidDel="00000000">
              <w:rPr>
                <w:rtl w:val="0"/>
              </w:rPr>
              <w:t xml:space="preserve">apakšpunktā</w:t>
            </w:r>
            <w:r w:rsidR="00000000" w:rsidRPr="00000000" w:rsidDel="00000000">
              <w:rPr>
                <w:rtl w:val="0"/>
              </w:rPr>
              <w:t xml:space="preserve"> minēto mērķstipendiju izmaksai, to var izmaksāt pa daļām un izmantot fiksētās summas maksājuma izmaksu segšanai. Maksimālais avansa apmērs nepārsniedz 30 procentus no projektam piešķirtā Eiropas Reģionālās attīstības fonda finansējuma un valsts budžeta līdzfinansējuma kopsummas. Finansējuma saņēmējiem, kam ir valsts budžeta daļēji finansētas atvasinātas publiskas personas statuss un kas projektu īsteno tai deleģēto valsts pārvaldes uzdevumu ietvaros, avansa un starpposma maksājumu kopsumma var būt 100 procenti no projektam piešķirtā Eiropas Reģionālās attīstības fonda finansējuma un valsts budžeta līdzfinansējuma kopsummas. Finansējuma saņēmējiem, kas ir privātpersonu dibinātas augstskolas, avansa un starpposma maksājumu kopsumma var būt līdz 90 procenti no projektā piešķirtā Eiropas Reģionālās attīstības fonda finansējuma un valsts budžeta līdzfinansējuma kopsummas. Sadarbības iestāde var pieņemt lēmumu par nākamā avansa maksājuma piešķiršanu pēc tam, kad iepriekšējais avansa maksājums ir apgūts pilnā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nosacījumu izpratnei aicinām precizēt, vārdus "var būt līdz 90 procenti", aizvietojot ar vārdiem "nepārsniedz 90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"Risinājuma apraksts" ietverto informāciju par demarkāciju, kā arī atsaucoties uz IZM izziņas 61.punkta skaidrojumu, ka 1.1.1.9. pasākumā pēcdoktorants studentu var noalgot kā tehnisko personālu sava pētniecības pieteikuma ietvaros, līdz ar to ir saskatāms risks, ka tas pats students var startēt inovāciju grantu programmā, aicinām IZM papildināt anotāciju ar informāciju, kā tiks nodrošināta demarkācija ar 1.1.1.9.pasākumu.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'Risinājuma apraksts" minētajām zemes platības izmaksām kā ar studentu pieteikumu saistītajām materiālu un pakalpojumu tiešajām attiecināmajām izmaksām (skat. 14. lpp) , vēršam uzmanību, ka zemes platības izmaksas studentu pieteikumu īstenošanas kontekstā ir svītrojamas, jo MKN 37.2.2. apakšpunkts pie ar studentu inovāciju pieteikumu īstenošanu saistītajām materiālu un pakalpojumu izmaksām tādas izmaksas neparedz, kā arī atbilstoši MKN 48.2.apakšpunktam, zemes platības izmaksas ir attiecināmas uz ieguldījumu natūrā. Arī elektronikas komponentes un moduļi nav minēto MKN 37.2.2.apakšpunktā. Aicinām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"Risinājuma apraksts" iekļauto atsauci uz MK 2004. gada 24. augusta noteikumu Nr. 740 “Noteikumi par stipendijām” 4.3. apakšpunktu, vēršam uzmanību, ka minētie MKN ir zaudējuši spēku un tā vietā ir izdoti  MK 2024. gada 17. decembra noteikumi Nr. 818 "Noteikumi par stipendijām". Lūdzam precizēt, kā arī pārskatīt atsauci uz spēkā esošo MKN apakšpunktu, kas nosaka paaugstinātas stipendijas apmēru. Vienlaicīgi nav skaidrs, kāpēc minēta atsauce uz MKN par stipendijām, jo īpaši atsauce uz punktu, kas nosaka, ka paaugstinātās stipendijas apmērs nepārsniedz minimālās stipendijas divkāršu apmēru (augstākminētie noteikumi nosaka min.stipendijas apmēru 15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sadaļas "Risinājuma apraksts" minēto, ka s</w:t>
            </w:r>
            <w:r w:rsidR="00000000" w:rsidRPr="00000000" w:rsidDel="00000000">
              <w:rPr>
                <w:i w:val="1"/>
                <w:rtl w:val="0"/>
              </w:rPr>
              <w:t xml:space="preserve">tipendijas apjoms, ilgums un pretendēšanas reižu skaits tiek noteikts atbilstoši projekta iesniedzēja izstrādātai kārtībai [..] (skat. 10. pp), tad  l</w:t>
            </w:r>
            <w:r w:rsidR="00000000" w:rsidRPr="00000000" w:rsidDel="00000000">
              <w:rPr>
                <w:rtl w:val="0"/>
              </w:rPr>
              <w:t xml:space="preserve">ai neradītu liekas interpretācijas iespējas, aicinām IZM precizēt anotācijā ietverto informāciju attiecībā uz stipendiju apjomu, ilgumu, kas tiek noteikts atbilstoši projekta iesniedzēja izstrādātai kārtībai papildināt arī ar atsauci uz 37.2.1.apakšpunkta nosacījumiem (nosaka mērķstipendiju limitus).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 sadaļā "Risinājuma apraksts" minēto, ka komersantu iesaistes rādītāja izpildi apliecina dokumenti, kas pierāda, ka projekta sadarbības partneris: (1) piešķir finansējumu programmas īstenošanai; (2) deleģē organizācijas speciālistus kā studentu darba vadītājus vai mentorus projekta īstenošanas nodrošināšanai vai kā ekspertus studentu inovāciju projektu atlasē un novērtēšanā vai (3) nodrošina piekļuvi studentiem organizācijas infrastruktūrai studentu inovāciju pieteikumu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tai pat laikā pasākuma koncepts paredz atlīdzību studentu darbu vadītājiem, tad teorētiski ir risks par to, ka kāds komersants piešķir finansējumu inovāciju grantu programmas īstenošanai, vienlaicīgi deleģējot savu darbinieku kā atalgojamo studentu darbu vadītāju. Tādējādi var sanākt nosacīta 10 % privāta līdzfinansējuma piesaiste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anotācijā skaidrot, kā tiks novērsta šādu situāciju veidošanās.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"Risinājuma apraksts" skaidroto, ka, '</w:t>
            </w:r>
            <w:r w:rsidR="00000000" w:rsidRPr="00000000" w:rsidDel="00000000">
              <w:rPr>
                <w:i w:val="1"/>
                <w:rtl w:val="0"/>
              </w:rPr>
              <w:t xml:space="preserve">nav pieļaujama situācija, ka no ideju bankas izvēlēta konkrēta komersanta pieteikta ideja, komersantam piederošs intelektuālais īpašums, ko students attīsta studentu inovāciju pieteikuma ietvaros, tiek nodots konkrētajam komersantam, tādējādi komersantam iegūstot ekonomiskas priekšrocības, kādas tas nevarētu iegūt tirgus apstākļos",</w:t>
            </w:r>
            <w:r w:rsidR="00000000" w:rsidRPr="00000000" w:rsidDel="00000000">
              <w:rPr>
                <w:rtl w:val="0"/>
              </w:rPr>
              <w:t xml:space="preserve"> aicinām IZM papildināt  anotāciju ar informāciju, kā šādā situācijā augstskolai būtu jārīkojas, vismaz iekļaujot  atsauci uz normatīvo aktu vai tā projektu, kur intelektuālā īpašuma atsavināšanas kārtības būs atrunāta.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rindkopā "Finansējuma saņēmējs un sadarbības partneris projekta īstenošanas laikā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publisko iepirkumu reglamentējošajiem normatīvajiem aktiem, kā arī paraksta interešu konflikta neesības apliecinājumu" norādīt atsauci uz jauno finanšu regulu - Eiropas Parlamenta un Padomes 2024. gada 23. septembra Regula (ES, Euratom) Nr. 2024/2509 par finanšu noteikumiem, ko piemēro Savienības vispārējam budžetam (pārstrādāta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"Ja inovāciju pieteikumu īstenošanas ietvaros/rezultātā tiek konstatēts atbalsts saimnieciskās darbības veikšanai, proti, inovāciju pieteikuma īstenotājs uzsāk saimniecisku darbību, dibina jaunuzņēmumu, un atbalsts saimnieciskās darbības veikšanai ir kvalificējams kā komercdarbības atbalsts, finansējuma saņēmējs lemj par</w:t>
            </w:r>
            <w:r w:rsidR="00000000" w:rsidRPr="00000000" w:rsidDel="00000000">
              <w:rPr>
                <w:i w:val="1"/>
                <w:rtl w:val="0"/>
              </w:rPr>
              <w:t xml:space="preserve"> de minimis</w:t>
            </w:r>
            <w:r w:rsidR="00000000" w:rsidRPr="00000000" w:rsidDel="00000000">
              <w:rPr>
                <w:rtl w:val="0"/>
              </w:rPr>
              <w:t xml:space="preserve"> atbalsta piešķiršanu inovāciju pieteikuma īstenotājam saskaņā ar Eiropas Komisijas 2023. gada 13. decembra Regulu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salāgojot to ar noteikumu projekta 64.punktu, dzēšot vārdu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inovāciju pieteikumu īstenošanas ietvaros tiek konstatēts atbalsts saimnieciskās darbības veikšanai, proti, inovāciju pieteikuma īstenotājs uzsāk saimniecisku darbību, dibina jaunuzņēmumu, un atbalsts saimnieciskās darbības veikšanai ir kvalificējams kā komercdarbības atbalsts, finansējuma saņēmējs lemj par </w:t>
            </w:r>
            <w:r w:rsidR="00000000" w:rsidRPr="00000000" w:rsidDel="00000000">
              <w:rPr>
                <w:i w:val="1"/>
                <w:rtl w:val="0"/>
              </w:rPr>
              <w:t xml:space="preserve">de minimis</w:t>
            </w:r>
            <w:r w:rsidR="00000000" w:rsidRPr="00000000" w:rsidDel="00000000">
              <w:rPr>
                <w:rtl w:val="0"/>
              </w:rPr>
              <w:t xml:space="preserve"> atbalsta piešķiršanu inovāciju pieteikuma īstenotājam saskaņā ar Eiropas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nosacījuma par studējošo prasmju un attieksmes novērtēšanu un iesaistīto mācībspēku, darba vadītāju, mentoru, komersantu un studējošo atgriezeniskās saites analīzi par dalību programmā un labās prakses un pieredzes integrēšanu studiju procesā  sasaisti ar projekta iesnieguma kvalitātes vērtēšanas kritēriju Nr. 3.1. un Nr. 3.4.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viennozīmīgu izpratni par nosacījuma izpildes nodrošināšanas pārbaudi - saturiski tiks vērtēts gala atskaites ietvaros, kur informācija iesniedzama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norādīto informāciju: "Sadarbības iestāde neveic iesniegtās informācijas satura izvērtēšanu, bet uzrauga minēto kritēriju izpildi." aizvietot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iesniedz informāciju pie attiecīgā maksājuma pieprasījuma, taču Sadarbības iestāde neveic iesniegtās informācijas satura izvērtēšanu, minēto kritēriju izpildes izvērtējumu veiks ārvalstu eksperti gala rezultātu izvērtējuma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24-TA-1421</w:t>
    </w:r>
    <w:r>
      <w:br/>
    </w:r>
    <w:r w:rsidR="00000000" w:rsidRPr="00000000" w:rsidDel="00000000">
      <w:rPr>
        <w:rtl w:val="0"/>
      </w:rPr>
      <w:t xml:space="preserve">Izdrukāts 06.01.2025.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24-TA-1421</w:t>
    </w:r>
    <w:r>
      <w:br/>
    </w:r>
    <w:r w:rsidR="00000000" w:rsidRPr="00000000" w:rsidDel="00000000">
      <w:rPr>
        <w:rtl w:val="0"/>
      </w:rPr>
      <w:t xml:space="preserve">Izdrukāts 06.01.2025.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Atzinumi_24-TA-1421.docx</dc:title>
</cp:coreProperties>
</file>

<file path=docProps/custom.xml><?xml version="1.0" encoding="utf-8"?>
<Properties xmlns="http://schemas.openxmlformats.org/officeDocument/2006/custom-properties" xmlns:vt="http://schemas.openxmlformats.org/officeDocument/2006/docPropsVTypes"/>
</file>