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līdzfinansējuma nodrošināšanu Eiropas Komisijas programmas “ES-veselībai” projekta “Eiropas Savienības dalībvalstu sabiedrības veselības integrētā uzraudzība notekūdeņos” (EU-WISH) īstenošanai 2025. –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 EU-WISH projekta budžets)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EU-WISH projekta līgums.)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pārskatīt informatīvo ziņojumu un nodrošināt, ka tajā sniegta pilnīga informācija par visiem ar projektu “Eiropas Savienības dalībvalstu sabiedrības veselības integrētā uzraudzība notekūdeņos” (EU-WISH) īstenošanai 2025. – 2026. gadā” saistītajiem aspektiem. Piemēram, konkrēti norādīt, kā tieši notekūdeņu monitorings "</w:t>
            </w:r>
            <w:r w:rsidR="00000000" w:rsidRPr="00000000" w:rsidDel="00000000">
              <w:rPr>
                <w:i w:val="1"/>
                <w:rtl w:val="0"/>
              </w:rPr>
              <w:t xml:space="preserve">palīdzēs dalībvalstīm sagatavoties Eiropas Parlamenta un Padomes 2024. gada 27. novembra Direktīvas (ES) 2024/3019 par komunālo notekūdeņu attīrīšanu (pārstrādāta redakcija) (turpmāk - Direktīva Nr. 2024/3019) turpmākai īstenošanai</w:t>
            </w:r>
            <w:r w:rsidR="00000000" w:rsidRPr="00000000" w:rsidDel="00000000">
              <w:rPr>
                <w:rtl w:val="0"/>
              </w:rPr>
              <w:t xml:space="preserve">", kāda ir III sadaļā uzskaitīto tiesību aktu, piemēram, iepriekš minētās direktīvas, sasaiste ar skaidrotā projekta plānotajām aktivitātēm un to rezultātiem. Savukārt no informatīvā ziņojuma IV nodaļas nosaukuma "</w:t>
            </w:r>
            <w:r w:rsidR="00000000" w:rsidRPr="00000000" w:rsidDel="00000000">
              <w:rPr>
                <w:i w:val="1"/>
                <w:rtl w:val="0"/>
              </w:rPr>
              <w:t xml:space="preserve">Projekta aktivitātes, ieguvumi un līdzfinansējums</w:t>
            </w:r>
            <w:r w:rsidR="00000000" w:rsidRPr="00000000" w:rsidDel="00000000">
              <w:rPr>
                <w:rtl w:val="0"/>
              </w:rPr>
              <w:t xml:space="preserve">" saprotams, ka tajā skaidrotas arī projektā plānotās aktivitātes, bet praktiski tiek norādīti mērķi, kurus jāsasniedz ar plānotajām aktivitātēm, un projekta rezultāti, bet ne pašas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pārskatīt papildinājumus informatīvā ziņojuma IV sadaļas nobeigumā un ievērot, ka terminu saīsinājumus piesaka pirmajā vietā juridiskajā tekstā, kur lietots attiecīgais saīsināmais jēdziens vai termins un tos konsekventi lieto tālāk dokumenta tekstā. Proti, informatīvajā ziņojumā sākotnēji pieteikts saīsinājums "LBMC", bet IV sadaļas papildinājumos vairākkārt  lietots saīsinājums "BMC".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informatīvā ziņojuma IV sadaļā sniegto informāciju par to, ka granta līguma īstenošana uzsākta pirms tam, kad atbilstoši Likuma par budžetu un finanšu vadību 24. panta trešajai daļai ir pieņemts attiecīgs Ministru kabineta lēmums, lūdzam papildināt skaidrojumus ar to, kā tiek nodrošināta projekta īstenošanas atbilstība nacionālajām tiesību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12.05.2025.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12.05.2025.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Atzinumi_25-TA-334.docx</dc:title>
</cp:coreProperties>
</file>

<file path=docProps/custom.xml><?xml version="1.0" encoding="utf-8"?>
<Properties xmlns="http://schemas.openxmlformats.org/officeDocument/2006/custom-properties" xmlns:vt="http://schemas.openxmlformats.org/officeDocument/2006/docPropsVTypes"/>
</file>